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AE0F83">
        <w:rPr>
          <w:sz w:val="30"/>
          <w:szCs w:val="30"/>
        </w:rPr>
        <w:t>7</w:t>
      </w:r>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76051A">
      <w:pPr>
        <w:tabs>
          <w:tab w:val="clear" w:pos="1530"/>
        </w:tabs>
        <w:spacing w:after="160" w:line="259" w:lineRule="auto"/>
        <w:ind w:firstLine="0"/>
        <w:jc w:val="center"/>
      </w:pPr>
      <w:r>
        <w:t>2017</w:t>
      </w:r>
      <w:r w:rsidR="00DD7E90">
        <w:br w:type="page"/>
      </w:r>
    </w:p>
    <w:p w:rsidR="00AE0F8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79761616" w:history="1">
        <w:r w:rsidR="00AE0F83" w:rsidRPr="0030601E">
          <w:rPr>
            <w:rStyle w:val="Hyperlink"/>
            <w:noProof/>
          </w:rPr>
          <w:t>1</w:t>
        </w:r>
        <w:r w:rsidR="00AE0F83">
          <w:rPr>
            <w:rFonts w:asciiTheme="minorHAnsi" w:eastAsiaTheme="minorEastAsia" w:hAnsiTheme="minorHAnsi"/>
            <w:b w:val="0"/>
            <w:bCs w:val="0"/>
            <w:caps w:val="0"/>
            <w:noProof/>
            <w:sz w:val="22"/>
            <w:szCs w:val="22"/>
            <w:lang w:eastAsia="pt-BR"/>
          </w:rPr>
          <w:tab/>
        </w:r>
        <w:r w:rsidR="00AE0F83" w:rsidRPr="0030601E">
          <w:rPr>
            <w:rStyle w:val="Hyperlink"/>
            <w:noProof/>
          </w:rPr>
          <w:t>INTRODUÇÃO</w:t>
        </w:r>
        <w:r w:rsidR="00AE0F83">
          <w:rPr>
            <w:noProof/>
            <w:webHidden/>
          </w:rPr>
          <w:tab/>
        </w:r>
        <w:r w:rsidR="00AE0F83">
          <w:rPr>
            <w:noProof/>
            <w:webHidden/>
          </w:rPr>
          <w:fldChar w:fldCharType="begin"/>
        </w:r>
        <w:r w:rsidR="00AE0F83">
          <w:rPr>
            <w:noProof/>
            <w:webHidden/>
          </w:rPr>
          <w:instrText xml:space="preserve"> PAGEREF _Toc479761616 \h </w:instrText>
        </w:r>
        <w:r w:rsidR="00AE0F83">
          <w:rPr>
            <w:noProof/>
            <w:webHidden/>
          </w:rPr>
        </w:r>
        <w:r w:rsidR="00AE0F83">
          <w:rPr>
            <w:noProof/>
            <w:webHidden/>
          </w:rPr>
          <w:fldChar w:fldCharType="separate"/>
        </w:r>
        <w:r w:rsidR="00AE0F83">
          <w:rPr>
            <w:noProof/>
            <w:webHidden/>
          </w:rPr>
          <w:t>3</w:t>
        </w:r>
        <w:r w:rsidR="00AE0F83">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17" w:history="1">
        <w:r w:rsidRPr="0030601E">
          <w:rPr>
            <w:rStyle w:val="Hyperlink"/>
            <w:noProof/>
          </w:rPr>
          <w:t>1.1</w:t>
        </w:r>
        <w:r>
          <w:rPr>
            <w:rFonts w:eastAsiaTheme="minorEastAsia"/>
            <w:b w:val="0"/>
            <w:bCs w:val="0"/>
            <w:noProof/>
            <w:sz w:val="22"/>
            <w:szCs w:val="22"/>
            <w:lang w:eastAsia="pt-BR"/>
          </w:rPr>
          <w:tab/>
        </w:r>
        <w:r w:rsidRPr="0030601E">
          <w:rPr>
            <w:rStyle w:val="Hyperlink"/>
            <w:noProof/>
          </w:rPr>
          <w:t>Gerenciamento Eletrônico de Documentos (GED)</w:t>
        </w:r>
        <w:r>
          <w:rPr>
            <w:noProof/>
            <w:webHidden/>
          </w:rPr>
          <w:tab/>
        </w:r>
        <w:r>
          <w:rPr>
            <w:noProof/>
            <w:webHidden/>
          </w:rPr>
          <w:fldChar w:fldCharType="begin"/>
        </w:r>
        <w:r>
          <w:rPr>
            <w:noProof/>
            <w:webHidden/>
          </w:rPr>
          <w:instrText xml:space="preserve"> PAGEREF _Toc479761617 \h </w:instrText>
        </w:r>
        <w:r>
          <w:rPr>
            <w:noProof/>
            <w:webHidden/>
          </w:rPr>
        </w:r>
        <w:r>
          <w:rPr>
            <w:noProof/>
            <w:webHidden/>
          </w:rPr>
          <w:fldChar w:fldCharType="separate"/>
        </w:r>
        <w:r>
          <w:rPr>
            <w:noProof/>
            <w:webHidden/>
          </w:rPr>
          <w:t>3</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18" w:history="1">
        <w:r w:rsidRPr="0030601E">
          <w:rPr>
            <w:rStyle w:val="Hyperlink"/>
            <w:noProof/>
          </w:rPr>
          <w:t>1.2</w:t>
        </w:r>
        <w:r>
          <w:rPr>
            <w:rFonts w:eastAsiaTheme="minorEastAsia"/>
            <w:b w:val="0"/>
            <w:bCs w:val="0"/>
            <w:noProof/>
            <w:sz w:val="22"/>
            <w:szCs w:val="22"/>
            <w:lang w:eastAsia="pt-BR"/>
          </w:rPr>
          <w:tab/>
        </w:r>
        <w:r w:rsidRPr="0030601E">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_Toc479761618 \h </w:instrText>
        </w:r>
        <w:r>
          <w:rPr>
            <w:noProof/>
            <w:webHidden/>
          </w:rPr>
        </w:r>
        <w:r>
          <w:rPr>
            <w:noProof/>
            <w:webHidden/>
          </w:rPr>
          <w:fldChar w:fldCharType="separate"/>
        </w:r>
        <w:r>
          <w:rPr>
            <w:noProof/>
            <w:webHidden/>
          </w:rPr>
          <w:t>3</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19" w:history="1">
        <w:r w:rsidRPr="0030601E">
          <w:rPr>
            <w:rStyle w:val="Hyperlink"/>
            <w:noProof/>
          </w:rPr>
          <w:t>1.3</w:t>
        </w:r>
        <w:r>
          <w:rPr>
            <w:rFonts w:eastAsiaTheme="minorEastAsia"/>
            <w:b w:val="0"/>
            <w:bCs w:val="0"/>
            <w:noProof/>
            <w:sz w:val="22"/>
            <w:szCs w:val="22"/>
            <w:lang w:eastAsia="pt-BR"/>
          </w:rPr>
          <w:tab/>
        </w:r>
        <w:r w:rsidRPr="0030601E">
          <w:rPr>
            <w:rStyle w:val="Hyperlink"/>
            <w:noProof/>
          </w:rPr>
          <w:t>O que é o SAPIENS?</w:t>
        </w:r>
        <w:r>
          <w:rPr>
            <w:noProof/>
            <w:webHidden/>
          </w:rPr>
          <w:tab/>
        </w:r>
        <w:r>
          <w:rPr>
            <w:noProof/>
            <w:webHidden/>
          </w:rPr>
          <w:fldChar w:fldCharType="begin"/>
        </w:r>
        <w:r>
          <w:rPr>
            <w:noProof/>
            <w:webHidden/>
          </w:rPr>
          <w:instrText xml:space="preserve"> PAGEREF _Toc479761619 \h </w:instrText>
        </w:r>
        <w:r>
          <w:rPr>
            <w:noProof/>
            <w:webHidden/>
          </w:rPr>
        </w:r>
        <w:r>
          <w:rPr>
            <w:noProof/>
            <w:webHidden/>
          </w:rPr>
          <w:fldChar w:fldCharType="separate"/>
        </w:r>
        <w:r>
          <w:rPr>
            <w:noProof/>
            <w:webHidden/>
          </w:rPr>
          <w:t>4</w:t>
        </w:r>
        <w:r>
          <w:rPr>
            <w:noProof/>
            <w:webHidden/>
          </w:rPr>
          <w:fldChar w:fldCharType="end"/>
        </w:r>
      </w:hyperlink>
    </w:p>
    <w:p w:rsidR="00AE0F83" w:rsidRDefault="00AE0F8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1620" w:history="1">
        <w:r w:rsidRPr="0030601E">
          <w:rPr>
            <w:rStyle w:val="Hyperlink"/>
            <w:noProof/>
          </w:rPr>
          <w:t>2</w:t>
        </w:r>
        <w:r>
          <w:rPr>
            <w:rFonts w:asciiTheme="minorHAnsi" w:eastAsiaTheme="minorEastAsia" w:hAnsiTheme="minorHAnsi"/>
            <w:b w:val="0"/>
            <w:bCs w:val="0"/>
            <w:caps w:val="0"/>
            <w:noProof/>
            <w:sz w:val="22"/>
            <w:szCs w:val="22"/>
            <w:lang w:eastAsia="pt-BR"/>
          </w:rPr>
          <w:tab/>
        </w:r>
        <w:r w:rsidRPr="0030601E">
          <w:rPr>
            <w:rStyle w:val="Hyperlink"/>
            <w:noProof/>
          </w:rPr>
          <w:t>PERFIL ADMINISTRADOR</w:t>
        </w:r>
        <w:r>
          <w:rPr>
            <w:noProof/>
            <w:webHidden/>
          </w:rPr>
          <w:tab/>
        </w:r>
        <w:r>
          <w:rPr>
            <w:noProof/>
            <w:webHidden/>
          </w:rPr>
          <w:fldChar w:fldCharType="begin"/>
        </w:r>
        <w:r>
          <w:rPr>
            <w:noProof/>
            <w:webHidden/>
          </w:rPr>
          <w:instrText xml:space="preserve"> PAGEREF _Toc479761620 \h </w:instrText>
        </w:r>
        <w:r>
          <w:rPr>
            <w:noProof/>
            <w:webHidden/>
          </w:rPr>
        </w:r>
        <w:r>
          <w:rPr>
            <w:noProof/>
            <w:webHidden/>
          </w:rPr>
          <w:fldChar w:fldCharType="separate"/>
        </w:r>
        <w:r>
          <w:rPr>
            <w:noProof/>
            <w:webHidden/>
          </w:rPr>
          <w:t>5</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21" w:history="1">
        <w:r w:rsidRPr="0030601E">
          <w:rPr>
            <w:rStyle w:val="Hyperlink"/>
            <w:noProof/>
          </w:rPr>
          <w:t>2.1</w:t>
        </w:r>
        <w:r>
          <w:rPr>
            <w:rFonts w:eastAsiaTheme="minorEastAsia"/>
            <w:b w:val="0"/>
            <w:bCs w:val="0"/>
            <w:noProof/>
            <w:sz w:val="22"/>
            <w:szCs w:val="22"/>
            <w:lang w:eastAsia="pt-BR"/>
          </w:rPr>
          <w:tab/>
        </w:r>
        <w:r w:rsidRPr="0030601E">
          <w:rPr>
            <w:rStyle w:val="Hyperlink"/>
            <w:noProof/>
          </w:rPr>
          <w:t>Acesso às funcionalidades</w:t>
        </w:r>
        <w:r>
          <w:rPr>
            <w:noProof/>
            <w:webHidden/>
          </w:rPr>
          <w:tab/>
        </w:r>
        <w:r>
          <w:rPr>
            <w:noProof/>
            <w:webHidden/>
          </w:rPr>
          <w:fldChar w:fldCharType="begin"/>
        </w:r>
        <w:r>
          <w:rPr>
            <w:noProof/>
            <w:webHidden/>
          </w:rPr>
          <w:instrText xml:space="preserve"> PAGEREF _Toc479761621 \h </w:instrText>
        </w:r>
        <w:r>
          <w:rPr>
            <w:noProof/>
            <w:webHidden/>
          </w:rPr>
        </w:r>
        <w:r>
          <w:rPr>
            <w:noProof/>
            <w:webHidden/>
          </w:rPr>
          <w:fldChar w:fldCharType="separate"/>
        </w:r>
        <w:r>
          <w:rPr>
            <w:noProof/>
            <w:webHidden/>
          </w:rPr>
          <w:t>5</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22" w:history="1">
        <w:r w:rsidRPr="0030601E">
          <w:rPr>
            <w:rStyle w:val="Hyperlink"/>
            <w:noProof/>
          </w:rPr>
          <w:t>2.2</w:t>
        </w:r>
        <w:r>
          <w:rPr>
            <w:rFonts w:eastAsiaTheme="minorEastAsia"/>
            <w:b w:val="0"/>
            <w:bCs w:val="0"/>
            <w:noProof/>
            <w:sz w:val="22"/>
            <w:szCs w:val="22"/>
            <w:lang w:eastAsia="pt-BR"/>
          </w:rPr>
          <w:tab/>
        </w:r>
        <w:r w:rsidRPr="0030601E">
          <w:rPr>
            <w:rStyle w:val="Hyperlink"/>
            <w:noProof/>
          </w:rPr>
          <w:t>Gestão dos Setores</w:t>
        </w:r>
        <w:r>
          <w:rPr>
            <w:noProof/>
            <w:webHidden/>
          </w:rPr>
          <w:tab/>
        </w:r>
        <w:r>
          <w:rPr>
            <w:noProof/>
            <w:webHidden/>
          </w:rPr>
          <w:fldChar w:fldCharType="begin"/>
        </w:r>
        <w:r>
          <w:rPr>
            <w:noProof/>
            <w:webHidden/>
          </w:rPr>
          <w:instrText xml:space="preserve"> PAGEREF _Toc479761622 \h </w:instrText>
        </w:r>
        <w:r>
          <w:rPr>
            <w:noProof/>
            <w:webHidden/>
          </w:rPr>
        </w:r>
        <w:r>
          <w:rPr>
            <w:noProof/>
            <w:webHidden/>
          </w:rPr>
          <w:fldChar w:fldCharType="separate"/>
        </w:r>
        <w:r>
          <w:rPr>
            <w:noProof/>
            <w:webHidden/>
          </w:rPr>
          <w:t>5</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3" w:history="1">
        <w:r w:rsidRPr="0030601E">
          <w:rPr>
            <w:rStyle w:val="Hyperlink"/>
            <w:noProof/>
          </w:rPr>
          <w:t>2.2.1</w:t>
        </w:r>
        <w:r>
          <w:rPr>
            <w:rFonts w:eastAsiaTheme="minorEastAsia"/>
            <w:noProof/>
            <w:sz w:val="22"/>
            <w:szCs w:val="22"/>
            <w:lang w:eastAsia="pt-BR"/>
          </w:rPr>
          <w:tab/>
        </w:r>
        <w:r w:rsidRPr="0030601E">
          <w:rPr>
            <w:rStyle w:val="Hyperlink"/>
            <w:noProof/>
          </w:rPr>
          <w:t>Lotações</w:t>
        </w:r>
        <w:r>
          <w:rPr>
            <w:noProof/>
            <w:webHidden/>
          </w:rPr>
          <w:tab/>
        </w:r>
        <w:r>
          <w:rPr>
            <w:noProof/>
            <w:webHidden/>
          </w:rPr>
          <w:fldChar w:fldCharType="begin"/>
        </w:r>
        <w:r>
          <w:rPr>
            <w:noProof/>
            <w:webHidden/>
          </w:rPr>
          <w:instrText xml:space="preserve"> PAGEREF _Toc479761623 \h </w:instrText>
        </w:r>
        <w:r>
          <w:rPr>
            <w:noProof/>
            <w:webHidden/>
          </w:rPr>
        </w:r>
        <w:r>
          <w:rPr>
            <w:noProof/>
            <w:webHidden/>
          </w:rPr>
          <w:fldChar w:fldCharType="separate"/>
        </w:r>
        <w:r>
          <w:rPr>
            <w:noProof/>
            <w:webHidden/>
          </w:rPr>
          <w:t>7</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4" w:history="1">
        <w:r w:rsidRPr="0030601E">
          <w:rPr>
            <w:rStyle w:val="Hyperlink"/>
            <w:noProof/>
          </w:rPr>
          <w:t>2.2.2</w:t>
        </w:r>
        <w:r>
          <w:rPr>
            <w:rFonts w:eastAsiaTheme="minorEastAsia"/>
            <w:noProof/>
            <w:sz w:val="22"/>
            <w:szCs w:val="22"/>
            <w:lang w:eastAsia="pt-BR"/>
          </w:rPr>
          <w:tab/>
        </w:r>
        <w:r w:rsidRPr="0030601E">
          <w:rPr>
            <w:rStyle w:val="Hyperlink"/>
            <w:noProof/>
          </w:rPr>
          <w:t>Localizadores</w:t>
        </w:r>
        <w:r>
          <w:rPr>
            <w:noProof/>
            <w:webHidden/>
          </w:rPr>
          <w:tab/>
        </w:r>
        <w:r>
          <w:rPr>
            <w:noProof/>
            <w:webHidden/>
          </w:rPr>
          <w:fldChar w:fldCharType="begin"/>
        </w:r>
        <w:r>
          <w:rPr>
            <w:noProof/>
            <w:webHidden/>
          </w:rPr>
          <w:instrText xml:space="preserve"> PAGEREF _Toc479761624 \h </w:instrText>
        </w:r>
        <w:r>
          <w:rPr>
            <w:noProof/>
            <w:webHidden/>
          </w:rPr>
        </w:r>
        <w:r>
          <w:rPr>
            <w:noProof/>
            <w:webHidden/>
          </w:rPr>
          <w:fldChar w:fldCharType="separate"/>
        </w:r>
        <w:r>
          <w:rPr>
            <w:noProof/>
            <w:webHidden/>
          </w:rPr>
          <w:t>9</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5" w:history="1">
        <w:r w:rsidRPr="0030601E">
          <w:rPr>
            <w:rStyle w:val="Hyperlink"/>
            <w:noProof/>
          </w:rPr>
          <w:t>2.2.3</w:t>
        </w:r>
        <w:r>
          <w:rPr>
            <w:rFonts w:eastAsiaTheme="minorEastAsia"/>
            <w:noProof/>
            <w:sz w:val="22"/>
            <w:szCs w:val="22"/>
            <w:lang w:eastAsia="pt-BR"/>
          </w:rPr>
          <w:tab/>
        </w:r>
        <w:r w:rsidRPr="0030601E">
          <w:rPr>
            <w:rStyle w:val="Hyperlink"/>
            <w:noProof/>
          </w:rPr>
          <w:t>Números de Documentos</w:t>
        </w:r>
        <w:r>
          <w:rPr>
            <w:noProof/>
            <w:webHidden/>
          </w:rPr>
          <w:tab/>
        </w:r>
        <w:r>
          <w:rPr>
            <w:noProof/>
            <w:webHidden/>
          </w:rPr>
          <w:fldChar w:fldCharType="begin"/>
        </w:r>
        <w:r>
          <w:rPr>
            <w:noProof/>
            <w:webHidden/>
          </w:rPr>
          <w:instrText xml:space="preserve"> PAGEREF _Toc479761625 \h </w:instrText>
        </w:r>
        <w:r>
          <w:rPr>
            <w:noProof/>
            <w:webHidden/>
          </w:rPr>
        </w:r>
        <w:r>
          <w:rPr>
            <w:noProof/>
            <w:webHidden/>
          </w:rPr>
          <w:fldChar w:fldCharType="separate"/>
        </w:r>
        <w:r>
          <w:rPr>
            <w:noProof/>
            <w:webHidden/>
          </w:rPr>
          <w:t>10</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26" w:history="1">
        <w:r w:rsidRPr="0030601E">
          <w:rPr>
            <w:rStyle w:val="Hyperlink"/>
            <w:noProof/>
          </w:rPr>
          <w:t>2.3</w:t>
        </w:r>
        <w:r>
          <w:rPr>
            <w:rFonts w:eastAsiaTheme="minorEastAsia"/>
            <w:b w:val="0"/>
            <w:bCs w:val="0"/>
            <w:noProof/>
            <w:sz w:val="22"/>
            <w:szCs w:val="22"/>
            <w:lang w:eastAsia="pt-BR"/>
          </w:rPr>
          <w:tab/>
        </w:r>
        <w:r w:rsidRPr="0030601E">
          <w:rPr>
            <w:rStyle w:val="Hyperlink"/>
            <w:noProof/>
          </w:rPr>
          <w:t>Gestão dos Usuários</w:t>
        </w:r>
        <w:r>
          <w:rPr>
            <w:noProof/>
            <w:webHidden/>
          </w:rPr>
          <w:tab/>
        </w:r>
        <w:r>
          <w:rPr>
            <w:noProof/>
            <w:webHidden/>
          </w:rPr>
          <w:fldChar w:fldCharType="begin"/>
        </w:r>
        <w:r>
          <w:rPr>
            <w:noProof/>
            <w:webHidden/>
          </w:rPr>
          <w:instrText xml:space="preserve"> PAGEREF _Toc479761626 \h </w:instrText>
        </w:r>
        <w:r>
          <w:rPr>
            <w:noProof/>
            <w:webHidden/>
          </w:rPr>
        </w:r>
        <w:r>
          <w:rPr>
            <w:noProof/>
            <w:webHidden/>
          </w:rPr>
          <w:fldChar w:fldCharType="separate"/>
        </w:r>
        <w:r>
          <w:rPr>
            <w:noProof/>
            <w:webHidden/>
          </w:rPr>
          <w:t>10</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7" w:history="1">
        <w:r w:rsidRPr="0030601E">
          <w:rPr>
            <w:rStyle w:val="Hyperlink"/>
            <w:noProof/>
          </w:rPr>
          <w:t>2.3.1</w:t>
        </w:r>
        <w:r>
          <w:rPr>
            <w:rFonts w:eastAsiaTheme="minorEastAsia"/>
            <w:noProof/>
            <w:sz w:val="22"/>
            <w:szCs w:val="22"/>
            <w:lang w:eastAsia="pt-BR"/>
          </w:rPr>
          <w:tab/>
        </w:r>
        <w:r w:rsidRPr="0030601E">
          <w:rPr>
            <w:rStyle w:val="Hyperlink"/>
            <w:noProof/>
          </w:rPr>
          <w:t>Perfis</w:t>
        </w:r>
        <w:r>
          <w:rPr>
            <w:noProof/>
            <w:webHidden/>
          </w:rPr>
          <w:tab/>
        </w:r>
        <w:r>
          <w:rPr>
            <w:noProof/>
            <w:webHidden/>
          </w:rPr>
          <w:fldChar w:fldCharType="begin"/>
        </w:r>
        <w:r>
          <w:rPr>
            <w:noProof/>
            <w:webHidden/>
          </w:rPr>
          <w:instrText xml:space="preserve"> PAGEREF _Toc479761627 \h </w:instrText>
        </w:r>
        <w:r>
          <w:rPr>
            <w:noProof/>
            <w:webHidden/>
          </w:rPr>
        </w:r>
        <w:r>
          <w:rPr>
            <w:noProof/>
            <w:webHidden/>
          </w:rPr>
          <w:fldChar w:fldCharType="separate"/>
        </w:r>
        <w:r>
          <w:rPr>
            <w:noProof/>
            <w:webHidden/>
          </w:rPr>
          <w:t>12</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8" w:history="1">
        <w:r w:rsidRPr="0030601E">
          <w:rPr>
            <w:rStyle w:val="Hyperlink"/>
            <w:noProof/>
          </w:rPr>
          <w:t>2.3.2</w:t>
        </w:r>
        <w:r>
          <w:rPr>
            <w:rFonts w:eastAsiaTheme="minorEastAsia"/>
            <w:noProof/>
            <w:sz w:val="22"/>
            <w:szCs w:val="22"/>
            <w:lang w:eastAsia="pt-BR"/>
          </w:rPr>
          <w:tab/>
        </w:r>
        <w:r w:rsidRPr="0030601E">
          <w:rPr>
            <w:rStyle w:val="Hyperlink"/>
            <w:noProof/>
          </w:rPr>
          <w:t>Nível de Acesso</w:t>
        </w:r>
        <w:r>
          <w:rPr>
            <w:noProof/>
            <w:webHidden/>
          </w:rPr>
          <w:tab/>
        </w:r>
        <w:r>
          <w:rPr>
            <w:noProof/>
            <w:webHidden/>
          </w:rPr>
          <w:fldChar w:fldCharType="begin"/>
        </w:r>
        <w:r>
          <w:rPr>
            <w:noProof/>
            <w:webHidden/>
          </w:rPr>
          <w:instrText xml:space="preserve"> PAGEREF _Toc479761628 \h </w:instrText>
        </w:r>
        <w:r>
          <w:rPr>
            <w:noProof/>
            <w:webHidden/>
          </w:rPr>
        </w:r>
        <w:r>
          <w:rPr>
            <w:noProof/>
            <w:webHidden/>
          </w:rPr>
          <w:fldChar w:fldCharType="separate"/>
        </w:r>
        <w:r>
          <w:rPr>
            <w:noProof/>
            <w:webHidden/>
          </w:rPr>
          <w:t>13</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29" w:history="1">
        <w:r w:rsidRPr="0030601E">
          <w:rPr>
            <w:rStyle w:val="Hyperlink"/>
            <w:noProof/>
          </w:rPr>
          <w:t>2.3.3</w:t>
        </w:r>
        <w:r>
          <w:rPr>
            <w:rFonts w:eastAsiaTheme="minorEastAsia"/>
            <w:noProof/>
            <w:sz w:val="22"/>
            <w:szCs w:val="22"/>
            <w:lang w:eastAsia="pt-BR"/>
          </w:rPr>
          <w:tab/>
        </w:r>
        <w:r w:rsidRPr="0030601E">
          <w:rPr>
            <w:rStyle w:val="Hyperlink"/>
            <w:noProof/>
          </w:rPr>
          <w:t>Lotações</w:t>
        </w:r>
        <w:r>
          <w:rPr>
            <w:noProof/>
            <w:webHidden/>
          </w:rPr>
          <w:tab/>
        </w:r>
        <w:r>
          <w:rPr>
            <w:noProof/>
            <w:webHidden/>
          </w:rPr>
          <w:fldChar w:fldCharType="begin"/>
        </w:r>
        <w:r>
          <w:rPr>
            <w:noProof/>
            <w:webHidden/>
          </w:rPr>
          <w:instrText xml:space="preserve"> PAGEREF _Toc479761629 \h </w:instrText>
        </w:r>
        <w:r>
          <w:rPr>
            <w:noProof/>
            <w:webHidden/>
          </w:rPr>
        </w:r>
        <w:r>
          <w:rPr>
            <w:noProof/>
            <w:webHidden/>
          </w:rPr>
          <w:fldChar w:fldCharType="separate"/>
        </w:r>
        <w:r>
          <w:rPr>
            <w:noProof/>
            <w:webHidden/>
          </w:rPr>
          <w:t>15</w:t>
        </w:r>
        <w:r>
          <w:rPr>
            <w:noProof/>
            <w:webHidden/>
          </w:rPr>
          <w:fldChar w:fldCharType="end"/>
        </w:r>
      </w:hyperlink>
    </w:p>
    <w:p w:rsidR="00AE0F83" w:rsidRDefault="00AE0F83">
      <w:pPr>
        <w:pStyle w:val="Sumrio3"/>
        <w:tabs>
          <w:tab w:val="left" w:pos="1696"/>
          <w:tab w:val="right" w:leader="dot" w:pos="8494"/>
        </w:tabs>
        <w:rPr>
          <w:rFonts w:eastAsiaTheme="minorEastAsia"/>
          <w:noProof/>
          <w:sz w:val="22"/>
          <w:szCs w:val="22"/>
          <w:lang w:eastAsia="pt-BR"/>
        </w:rPr>
      </w:pPr>
      <w:hyperlink w:anchor="_Toc479761630" w:history="1">
        <w:r w:rsidRPr="0030601E">
          <w:rPr>
            <w:rStyle w:val="Hyperlink"/>
            <w:noProof/>
          </w:rPr>
          <w:t>2.3.4</w:t>
        </w:r>
        <w:r>
          <w:rPr>
            <w:rFonts w:eastAsiaTheme="minorEastAsia"/>
            <w:noProof/>
            <w:sz w:val="22"/>
            <w:szCs w:val="22"/>
            <w:lang w:eastAsia="pt-BR"/>
          </w:rPr>
          <w:tab/>
        </w:r>
        <w:r w:rsidRPr="0030601E">
          <w:rPr>
            <w:rStyle w:val="Hyperlink"/>
            <w:noProof/>
          </w:rPr>
          <w:t>Afastamentos</w:t>
        </w:r>
        <w:r>
          <w:rPr>
            <w:noProof/>
            <w:webHidden/>
          </w:rPr>
          <w:tab/>
        </w:r>
        <w:r>
          <w:rPr>
            <w:noProof/>
            <w:webHidden/>
          </w:rPr>
          <w:fldChar w:fldCharType="begin"/>
        </w:r>
        <w:r>
          <w:rPr>
            <w:noProof/>
            <w:webHidden/>
          </w:rPr>
          <w:instrText xml:space="preserve"> PAGEREF _Toc479761630 \h </w:instrText>
        </w:r>
        <w:r>
          <w:rPr>
            <w:noProof/>
            <w:webHidden/>
          </w:rPr>
        </w:r>
        <w:r>
          <w:rPr>
            <w:noProof/>
            <w:webHidden/>
          </w:rPr>
          <w:fldChar w:fldCharType="separate"/>
        </w:r>
        <w:r>
          <w:rPr>
            <w:noProof/>
            <w:webHidden/>
          </w:rPr>
          <w:t>16</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31" w:history="1">
        <w:r w:rsidRPr="0030601E">
          <w:rPr>
            <w:rStyle w:val="Hyperlink"/>
            <w:noProof/>
          </w:rPr>
          <w:t>2.4</w:t>
        </w:r>
        <w:r>
          <w:rPr>
            <w:rFonts w:eastAsiaTheme="minorEastAsia"/>
            <w:b w:val="0"/>
            <w:bCs w:val="0"/>
            <w:noProof/>
            <w:sz w:val="22"/>
            <w:szCs w:val="22"/>
            <w:lang w:eastAsia="pt-BR"/>
          </w:rPr>
          <w:tab/>
        </w:r>
        <w:r w:rsidRPr="0030601E">
          <w:rPr>
            <w:rStyle w:val="Hyperlink"/>
            <w:noProof/>
          </w:rPr>
          <w:t>Competências</w:t>
        </w:r>
        <w:r>
          <w:rPr>
            <w:noProof/>
            <w:webHidden/>
          </w:rPr>
          <w:tab/>
        </w:r>
        <w:r>
          <w:rPr>
            <w:noProof/>
            <w:webHidden/>
          </w:rPr>
          <w:fldChar w:fldCharType="begin"/>
        </w:r>
        <w:r>
          <w:rPr>
            <w:noProof/>
            <w:webHidden/>
          </w:rPr>
          <w:instrText xml:space="preserve"> PAGEREF _Toc479761631 \h </w:instrText>
        </w:r>
        <w:r>
          <w:rPr>
            <w:noProof/>
            <w:webHidden/>
          </w:rPr>
        </w:r>
        <w:r>
          <w:rPr>
            <w:noProof/>
            <w:webHidden/>
          </w:rPr>
          <w:fldChar w:fldCharType="separate"/>
        </w:r>
        <w:r>
          <w:rPr>
            <w:noProof/>
            <w:webHidden/>
          </w:rPr>
          <w:t>17</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32" w:history="1">
        <w:r w:rsidRPr="0030601E">
          <w:rPr>
            <w:rStyle w:val="Hyperlink"/>
            <w:noProof/>
          </w:rPr>
          <w:t>2.5</w:t>
        </w:r>
        <w:r>
          <w:rPr>
            <w:rFonts w:eastAsiaTheme="minorEastAsia"/>
            <w:b w:val="0"/>
            <w:bCs w:val="0"/>
            <w:noProof/>
            <w:sz w:val="22"/>
            <w:szCs w:val="22"/>
            <w:lang w:eastAsia="pt-BR"/>
          </w:rPr>
          <w:tab/>
        </w:r>
        <w:r w:rsidRPr="0030601E">
          <w:rPr>
            <w:rStyle w:val="Hyperlink"/>
            <w:noProof/>
          </w:rPr>
          <w:t>Exceções de Competência</w:t>
        </w:r>
        <w:r>
          <w:rPr>
            <w:noProof/>
            <w:webHidden/>
          </w:rPr>
          <w:tab/>
        </w:r>
        <w:r>
          <w:rPr>
            <w:noProof/>
            <w:webHidden/>
          </w:rPr>
          <w:fldChar w:fldCharType="begin"/>
        </w:r>
        <w:r>
          <w:rPr>
            <w:noProof/>
            <w:webHidden/>
          </w:rPr>
          <w:instrText xml:space="preserve"> PAGEREF _Toc479761632 \h </w:instrText>
        </w:r>
        <w:r>
          <w:rPr>
            <w:noProof/>
            <w:webHidden/>
          </w:rPr>
        </w:r>
        <w:r>
          <w:rPr>
            <w:noProof/>
            <w:webHidden/>
          </w:rPr>
          <w:fldChar w:fldCharType="separate"/>
        </w:r>
        <w:r>
          <w:rPr>
            <w:noProof/>
            <w:webHidden/>
          </w:rPr>
          <w:t>17</w:t>
        </w:r>
        <w:r>
          <w:rPr>
            <w:noProof/>
            <w:webHidden/>
          </w:rPr>
          <w:fldChar w:fldCharType="end"/>
        </w:r>
      </w:hyperlink>
    </w:p>
    <w:p w:rsidR="00AE0F83" w:rsidRDefault="00AE0F83">
      <w:pPr>
        <w:pStyle w:val="Sumrio2"/>
        <w:tabs>
          <w:tab w:val="left" w:pos="1540"/>
          <w:tab w:val="right" w:leader="dot" w:pos="8494"/>
        </w:tabs>
        <w:rPr>
          <w:rFonts w:eastAsiaTheme="minorEastAsia"/>
          <w:b w:val="0"/>
          <w:bCs w:val="0"/>
          <w:noProof/>
          <w:sz w:val="22"/>
          <w:szCs w:val="22"/>
          <w:lang w:eastAsia="pt-BR"/>
        </w:rPr>
      </w:pPr>
      <w:hyperlink w:anchor="_Toc479761633" w:history="1">
        <w:r w:rsidRPr="0030601E">
          <w:rPr>
            <w:rStyle w:val="Hyperlink"/>
            <w:noProof/>
          </w:rPr>
          <w:t>2.6</w:t>
        </w:r>
        <w:r>
          <w:rPr>
            <w:rFonts w:eastAsiaTheme="minorEastAsia"/>
            <w:b w:val="0"/>
            <w:bCs w:val="0"/>
            <w:noProof/>
            <w:sz w:val="22"/>
            <w:szCs w:val="22"/>
            <w:lang w:eastAsia="pt-BR"/>
          </w:rPr>
          <w:tab/>
        </w:r>
        <w:r w:rsidRPr="0030601E">
          <w:rPr>
            <w:rStyle w:val="Hyperlink"/>
            <w:noProof/>
          </w:rPr>
          <w:t>Avocações</w:t>
        </w:r>
        <w:r>
          <w:rPr>
            <w:noProof/>
            <w:webHidden/>
          </w:rPr>
          <w:tab/>
        </w:r>
        <w:r>
          <w:rPr>
            <w:noProof/>
            <w:webHidden/>
          </w:rPr>
          <w:fldChar w:fldCharType="begin"/>
        </w:r>
        <w:r>
          <w:rPr>
            <w:noProof/>
            <w:webHidden/>
          </w:rPr>
          <w:instrText xml:space="preserve"> PAGEREF _Toc479761633 \h </w:instrText>
        </w:r>
        <w:r>
          <w:rPr>
            <w:noProof/>
            <w:webHidden/>
          </w:rPr>
        </w:r>
        <w:r>
          <w:rPr>
            <w:noProof/>
            <w:webHidden/>
          </w:rPr>
          <w:fldChar w:fldCharType="separate"/>
        </w:r>
        <w:r>
          <w:rPr>
            <w:noProof/>
            <w:webHidden/>
          </w:rPr>
          <w:t>18</w:t>
        </w:r>
        <w:r>
          <w:rPr>
            <w:noProof/>
            <w:webHidden/>
          </w:rPr>
          <w:fldChar w:fldCharType="end"/>
        </w:r>
      </w:hyperlink>
    </w:p>
    <w:p w:rsidR="00AE0F83" w:rsidRDefault="00AE0F83">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1634" w:history="1">
        <w:r w:rsidRPr="0030601E">
          <w:rPr>
            <w:rStyle w:val="Hyperlink"/>
            <w:noProof/>
          </w:rPr>
          <w:t>3</w:t>
        </w:r>
        <w:r>
          <w:rPr>
            <w:rFonts w:asciiTheme="minorHAnsi" w:eastAsiaTheme="minorEastAsia" w:hAnsiTheme="minorHAnsi"/>
            <w:b w:val="0"/>
            <w:bCs w:val="0"/>
            <w:caps w:val="0"/>
            <w:noProof/>
            <w:sz w:val="22"/>
            <w:szCs w:val="22"/>
            <w:lang w:eastAsia="pt-BR"/>
          </w:rPr>
          <w:tab/>
        </w:r>
        <w:r w:rsidRPr="0030601E">
          <w:rPr>
            <w:rStyle w:val="Hyperlink"/>
            <w:noProof/>
          </w:rPr>
          <w:t>CONCLUSÃO</w:t>
        </w:r>
        <w:r>
          <w:rPr>
            <w:noProof/>
            <w:webHidden/>
          </w:rPr>
          <w:tab/>
        </w:r>
        <w:r>
          <w:rPr>
            <w:noProof/>
            <w:webHidden/>
          </w:rPr>
          <w:fldChar w:fldCharType="begin"/>
        </w:r>
        <w:r>
          <w:rPr>
            <w:noProof/>
            <w:webHidden/>
          </w:rPr>
          <w:instrText xml:space="preserve"> PAGEREF _Toc479761634 \h </w:instrText>
        </w:r>
        <w:r>
          <w:rPr>
            <w:noProof/>
            <w:webHidden/>
          </w:rPr>
        </w:r>
        <w:r>
          <w:rPr>
            <w:noProof/>
            <w:webHidden/>
          </w:rPr>
          <w:fldChar w:fldCharType="separate"/>
        </w:r>
        <w:r>
          <w:rPr>
            <w:noProof/>
            <w:webHidden/>
          </w:rPr>
          <w:t>19</w:t>
        </w:r>
        <w:r>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EF137D" w:rsidRDefault="00DD7E90">
      <w:pPr>
        <w:pStyle w:val="Ttulo1"/>
      </w:pPr>
      <w:bookmarkStart w:id="2" w:name="_Toc479761616"/>
      <w:r>
        <w:lastRenderedPageBreak/>
        <w:t>INTRODUÇÃO</w:t>
      </w:r>
      <w:bookmarkEnd w:id="0"/>
      <w:bookmarkEnd w:id="1"/>
      <w:bookmarkEnd w:id="2"/>
    </w:p>
    <w:p w:rsidR="00EF137D" w:rsidRDefault="00DD7E90">
      <w:pPr>
        <w:pStyle w:val="Ttulo2"/>
      </w:pPr>
      <w:bookmarkStart w:id="3" w:name="_Toc364498306"/>
      <w:bookmarkStart w:id="4" w:name="_Toc364500740"/>
      <w:bookmarkStart w:id="5" w:name="_Toc479761617"/>
      <w:r>
        <w:t>Gerenciamento Eletrônico de Documentos (GED)</w:t>
      </w:r>
      <w:bookmarkEnd w:id="3"/>
      <w:bookmarkEnd w:id="4"/>
      <w:bookmarkEnd w:id="5"/>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6" w:name="_Toc364498307"/>
      <w:bookmarkStart w:id="7" w:name="_Toc364500741"/>
      <w:bookmarkStart w:id="8" w:name="_Toc479761618"/>
      <w:r>
        <w:t>Sistema Informatizado de Gestão Arquivística de Documentos (SIGAD)</w:t>
      </w:r>
      <w:bookmarkEnd w:id="6"/>
      <w:bookmarkEnd w:id="7"/>
      <w:bookmarkEnd w:id="8"/>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9" w:name="_Toc364498308"/>
      <w:bookmarkStart w:id="10" w:name="_Toc364500742"/>
      <w:bookmarkStart w:id="11" w:name="_Toc479761619"/>
      <w:r>
        <w:t>O que é o SAPIENS?</w:t>
      </w:r>
      <w:bookmarkEnd w:id="9"/>
      <w:bookmarkEnd w:id="10"/>
      <w:bookmarkEnd w:id="11"/>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2" w:name="_Toc364498317"/>
      <w:bookmarkStart w:id="13" w:name="_Toc364500751"/>
      <w:bookmarkStart w:id="14" w:name="_Toc479761620"/>
      <w:r>
        <w:lastRenderedPageBreak/>
        <w:t>PERFIL ADMINISTRADOR</w:t>
      </w:r>
      <w:bookmarkEnd w:id="12"/>
      <w:bookmarkEnd w:id="13"/>
      <w:bookmarkEnd w:id="14"/>
      <w:r>
        <w:t xml:space="preserve"> </w:t>
      </w:r>
    </w:p>
    <w:p w:rsidR="00EF137D" w:rsidRDefault="00DD7E90">
      <w:pPr>
        <w:pStyle w:val="Ttulo2"/>
      </w:pPr>
      <w:r>
        <w:t xml:space="preserve"> </w:t>
      </w:r>
      <w:bookmarkStart w:id="15" w:name="_Toc479761621"/>
      <w:r>
        <w:t>Acesso às funcionalidades</w:t>
      </w:r>
      <w:bookmarkEnd w:id="15"/>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Competências</w:t>
      </w:r>
      <w:r w:rsidR="00C22676">
        <w:t>, Exceções de Competência</w:t>
      </w:r>
      <w:r w:rsidR="00840AC7">
        <w:t xml:space="preserve"> </w:t>
      </w:r>
      <w:r w:rsidR="009B0F9A">
        <w:t xml:space="preserve">e </w:t>
      </w:r>
      <w:r w:rsidR="00C22676">
        <w:t>Avocações</w:t>
      </w:r>
      <w:r>
        <w:t>:</w:t>
      </w:r>
    </w:p>
    <w:p w:rsidR="00EF137D" w:rsidRDefault="00C22676">
      <w:pPr>
        <w:ind w:firstLine="0"/>
        <w:jc w:val="center"/>
      </w:pPr>
      <w:r>
        <w:rPr>
          <w:noProof/>
          <w:lang w:eastAsia="pt-BR"/>
        </w:rPr>
        <w:drawing>
          <wp:inline distT="0" distB="0" distL="0" distR="0">
            <wp:extent cx="5398770" cy="683895"/>
            <wp:effectExtent l="0" t="0" r="0" b="190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68389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6" w:name="_Toc479761622"/>
      <w:r>
        <w:t>Gestão dos Setores</w:t>
      </w:r>
      <w:bookmarkEnd w:id="16"/>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D90E2A">
      <w:pPr>
        <w:ind w:firstLine="0"/>
        <w:jc w:val="center"/>
      </w:pPr>
      <w:r>
        <w:rPr>
          <w:noProof/>
          <w:lang w:eastAsia="pt-BR"/>
        </w:rPr>
        <w:drawing>
          <wp:inline distT="0" distB="0" distL="0" distR="0">
            <wp:extent cx="5398770" cy="34829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3482975"/>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D90E2A" w:rsidRDefault="00D90E2A">
      <w:pPr>
        <w:pStyle w:val="PargrafodaLista"/>
        <w:numPr>
          <w:ilvl w:val="0"/>
          <w:numId w:val="23"/>
        </w:numPr>
      </w:pPr>
      <w:r>
        <w:t>Distribuição Automática: configuração que permite selecionar dígitos ou centenas como mecanismo de preferência absoluta na distribuição automática.</w:t>
      </w:r>
    </w:p>
    <w:p w:rsidR="00EF137D" w:rsidRDefault="00903BCC">
      <w:pPr>
        <w:pStyle w:val="PargrafodaLista"/>
        <w:numPr>
          <w:ilvl w:val="0"/>
          <w:numId w:val="23"/>
        </w:numPr>
      </w:pPr>
      <w:r>
        <w:t>Ativo</w:t>
      </w:r>
      <w:r w:rsidR="00DD7E90">
        <w:t>: para indicar se um setor está ativo ou inativo.</w:t>
      </w:r>
    </w:p>
    <w:p w:rsidR="00D90E2A" w:rsidRDefault="00D90E2A">
      <w:pPr>
        <w:pStyle w:val="PargrafodaLista"/>
        <w:numPr>
          <w:ilvl w:val="0"/>
          <w:numId w:val="23"/>
        </w:numPr>
      </w:pPr>
      <w:r>
        <w:lastRenderedPageBreak/>
        <w:t>Distribuidor: opção para restringir o recebimento de tarefas oriundas de outros setores aos usuários com atributo de distribuidor.</w:t>
      </w:r>
    </w:p>
    <w:p w:rsidR="00EF137D" w:rsidRDefault="00D90E2A">
      <w:r>
        <w:t>S</w:t>
      </w:r>
      <w:r w:rsidR="00DD7E90">
        <w:t xml:space="preserve">etores não podem ser excluídos, mas apenas </w:t>
      </w:r>
      <w:r w:rsidR="000140FD">
        <w:t>i</w:t>
      </w:r>
      <w:r w:rsidR="00DD7E90">
        <w:t>nativados.</w:t>
      </w:r>
    </w:p>
    <w:p w:rsidR="00EF137D" w:rsidRDefault="00DD7E90">
      <w:r>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7" w:name="_Toc479761623"/>
      <w:r>
        <w:t>Lotações</w:t>
      </w:r>
      <w:bookmarkEnd w:id="17"/>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76051A">
      <w:pPr>
        <w:ind w:firstLine="0"/>
        <w:jc w:val="center"/>
      </w:pPr>
      <w:r>
        <w:rPr>
          <w:noProof/>
          <w:lang w:eastAsia="pt-BR"/>
        </w:rPr>
        <w:lastRenderedPageBreak/>
        <w:drawing>
          <wp:inline distT="0" distB="0" distL="0" distR="0">
            <wp:extent cx="5398770" cy="27908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8770" cy="2790825"/>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D90E2A" w:rsidRDefault="00D90E2A">
      <w:r>
        <w:t xml:space="preserve">É possível ainda criar preferência absoluta na distribuição automática </w:t>
      </w:r>
      <w:r w:rsidR="009D4922">
        <w:t>pela designação de dígitos ou centenas a um usuário.</w:t>
      </w:r>
    </w:p>
    <w:p w:rsidR="009D4922" w:rsidRDefault="009D4922">
      <w:r>
        <w:t>Por exemplo, um usuário que tenha sido designado para os dígitos 1,5-7 terá preferência absoluta na distribuição automática de NUPs comuns e dossiês judiciais.</w:t>
      </w:r>
    </w:p>
    <w:p w:rsidR="009D4922" w:rsidRDefault="009D4922">
      <w:r>
        <w:t xml:space="preserve">No caso dos NUPs comuns, o dígito é encontrado ao final do sequencial, ou seja, o NUP </w:t>
      </w:r>
      <w:r w:rsidRPr="009D4922">
        <w:t>00421.00000</w:t>
      </w:r>
      <w:r w:rsidRPr="009D4922">
        <w:rPr>
          <w:b/>
          <w:u w:val="single"/>
        </w:rPr>
        <w:t>6</w:t>
      </w:r>
      <w:r w:rsidRPr="009D4922">
        <w:t>/2016-00</w:t>
      </w:r>
      <w:r>
        <w:t xml:space="preserve"> tem o dígito 6.</w:t>
      </w:r>
    </w:p>
    <w:p w:rsidR="009D4922" w:rsidRDefault="009D4922">
      <w:r>
        <w:t xml:space="preserve">Já no caso dos dossiês judiciais, o dígito é encontrado ao final do sequencial do número único do processo judicial, ou seja, o processo judicial </w:t>
      </w:r>
      <w:r w:rsidRPr="009D4922">
        <w:t>501447</w:t>
      </w:r>
      <w:r w:rsidRPr="009D4922">
        <w:rPr>
          <w:b/>
          <w:u w:val="single"/>
        </w:rPr>
        <w:t>0</w:t>
      </w:r>
      <w:r w:rsidRPr="009D4922">
        <w:t>-56.2011.404.7100</w:t>
      </w:r>
      <w:r>
        <w:t xml:space="preserve"> tem o dígito 0.</w:t>
      </w:r>
    </w:p>
    <w:p w:rsidR="009D4922" w:rsidRDefault="009D4922">
      <w:r>
        <w:t>Os dígitos que não forem designados para algum usuário, ou no caso de afastamento deste, serão objeto de distribuição automática simples, ou seja, com balanceamento de carga.</w:t>
      </w:r>
    </w:p>
    <w:p w:rsidR="00047FE3" w:rsidRDefault="00047FE3">
      <w:r>
        <w:t>Além disso, ao efetuar a lotação de um usuário, o administrador pode</w:t>
      </w:r>
      <w:r w:rsidR="0076051A">
        <w:t xml:space="preserve"> definir se a lotação é a principal e</w:t>
      </w:r>
      <w:r>
        <w:t xml:space="preserve"> selecionar os seguintes atributos:</w:t>
      </w:r>
    </w:p>
    <w:p w:rsidR="00047FE3" w:rsidRDefault="00047FE3" w:rsidP="00047FE3">
      <w:pPr>
        <w:pStyle w:val="PargrafodaLista"/>
        <w:numPr>
          <w:ilvl w:val="0"/>
          <w:numId w:val="23"/>
        </w:numPr>
      </w:pPr>
      <w:r>
        <w:rPr>
          <w:b/>
        </w:rPr>
        <w:lastRenderedPageBreak/>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8" w:name="_Toc479761624"/>
      <w:r>
        <w:t>Localizadores</w:t>
      </w:r>
      <w:bookmarkEnd w:id="18"/>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lastRenderedPageBreak/>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19" w:name="_Toc479761625"/>
      <w:r>
        <w:t>Números de Documentos</w:t>
      </w:r>
      <w:bookmarkEnd w:id="19"/>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0" w:name="_Toc479761626"/>
      <w:r>
        <w:t>Gestão dos Usuários</w:t>
      </w:r>
      <w:bookmarkEnd w:id="20"/>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lastRenderedPageBreak/>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lastRenderedPageBreak/>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1" w:name="_Toc479761627"/>
      <w:r>
        <w:t>Perfis</w:t>
      </w:r>
      <w:bookmarkEnd w:id="21"/>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lastRenderedPageBreak/>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2" w:name="_Toc479761628"/>
      <w:r>
        <w:t>Nível de Acesso</w:t>
      </w:r>
      <w:bookmarkEnd w:id="22"/>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 xml:space="preserve">que exerçam funções de </w:t>
      </w:r>
      <w:r>
        <w:rPr>
          <w:b/>
        </w:rPr>
        <w:lastRenderedPageBreak/>
        <w:t>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 xml:space="preserve">O SAPIENS não permitirá um o Usuário com Perfil “Estagiário” tenha nível de acesso superior a </w:t>
      </w:r>
      <w:r w:rsidR="00491210">
        <w:t>0</w:t>
      </w:r>
      <w:r w:rsidR="00293285">
        <w:t xml:space="preserve"> e</w:t>
      </w:r>
      <w:r w:rsidR="00491210">
        <w:t>,</w:t>
      </w:r>
      <w:r w:rsidR="00293285">
        <w:t xml:space="preserve"> portanto</w:t>
      </w:r>
      <w:r w:rsidR="00491210">
        <w:t>,</w:t>
      </w:r>
      <w:r w:rsidR="00293285">
        <w:t xml:space="preserve">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3" w:name="_Toc479761629"/>
      <w:r>
        <w:t>Lotações</w:t>
      </w:r>
      <w:bookmarkEnd w:id="23"/>
    </w:p>
    <w:p w:rsidR="00EF137D" w:rsidRDefault="00DD7E90">
      <w:bookmarkStart w:id="24" w:name="_Toc364498328"/>
      <w:bookmarkStart w:id="25"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4"/>
      <w:bookmarkEnd w:id="25"/>
    </w:p>
    <w:p w:rsidR="00EF137D" w:rsidRDefault="00DD7E90">
      <w:pPr>
        <w:pStyle w:val="Ttulo3"/>
      </w:pPr>
      <w:bookmarkStart w:id="26" w:name="_Toc479761630"/>
      <w:r>
        <w:t>Afastamentos</w:t>
      </w:r>
      <w:bookmarkEnd w:id="26"/>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7" w:name="_Toc479761631"/>
      <w:r>
        <w:lastRenderedPageBreak/>
        <w:t>Competências</w:t>
      </w:r>
      <w:bookmarkEnd w:id="27"/>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AE0F83" w:rsidRDefault="00AE0F83" w:rsidP="0034287D">
      <w:r>
        <w:t>Os administradores não podem cadastrar competências, uma vez que são definidas pelos órgãos centrais em atos normativos específicos.</w:t>
      </w:r>
      <w:bookmarkStart w:id="28" w:name="_GoBack"/>
      <w:bookmarkEnd w:id="28"/>
    </w:p>
    <w:p w:rsidR="009B0F9A" w:rsidRDefault="00047FE3" w:rsidP="009B0F9A">
      <w:pPr>
        <w:pStyle w:val="Ttulo2"/>
      </w:pPr>
      <w:bookmarkStart w:id="29" w:name="_Toc479761632"/>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lastRenderedPageBreak/>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79761633"/>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79761634"/>
      <w:r>
        <w:lastRenderedPageBreak/>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8"/>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BD" w:rsidRDefault="00EA0CBD">
      <w:r>
        <w:separator/>
      </w:r>
    </w:p>
  </w:endnote>
  <w:endnote w:type="continuationSeparator" w:id="0">
    <w:p w:rsidR="00EA0CBD" w:rsidRDefault="00EA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AE0F83">
          <w:rPr>
            <w:noProof/>
          </w:rPr>
          <w:t>13</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BD" w:rsidRDefault="00EA0CBD">
      <w:r>
        <w:separator/>
      </w:r>
    </w:p>
  </w:footnote>
  <w:footnote w:type="continuationSeparator" w:id="0">
    <w:p w:rsidR="00EA0CBD" w:rsidRDefault="00EA0CBD">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279C"/>
    <w:rsid w:val="000140FD"/>
    <w:rsid w:val="00047FE3"/>
    <w:rsid w:val="000E0C40"/>
    <w:rsid w:val="000E72E0"/>
    <w:rsid w:val="000F7041"/>
    <w:rsid w:val="00106C7C"/>
    <w:rsid w:val="00121515"/>
    <w:rsid w:val="00125092"/>
    <w:rsid w:val="00167231"/>
    <w:rsid w:val="00223AAC"/>
    <w:rsid w:val="00226AF4"/>
    <w:rsid w:val="0023628B"/>
    <w:rsid w:val="00293285"/>
    <w:rsid w:val="002C22B0"/>
    <w:rsid w:val="0034287D"/>
    <w:rsid w:val="003C6C0D"/>
    <w:rsid w:val="004048E8"/>
    <w:rsid w:val="00404905"/>
    <w:rsid w:val="00481F9A"/>
    <w:rsid w:val="00491210"/>
    <w:rsid w:val="00495444"/>
    <w:rsid w:val="004A1F3A"/>
    <w:rsid w:val="004A3820"/>
    <w:rsid w:val="004C0C4C"/>
    <w:rsid w:val="00526F1C"/>
    <w:rsid w:val="00527CD3"/>
    <w:rsid w:val="00530A16"/>
    <w:rsid w:val="00540D00"/>
    <w:rsid w:val="005D495B"/>
    <w:rsid w:val="005F5C99"/>
    <w:rsid w:val="00653056"/>
    <w:rsid w:val="00680D31"/>
    <w:rsid w:val="006A306A"/>
    <w:rsid w:val="006C4A4C"/>
    <w:rsid w:val="006E7B5E"/>
    <w:rsid w:val="00726D9E"/>
    <w:rsid w:val="00755CFB"/>
    <w:rsid w:val="0076051A"/>
    <w:rsid w:val="00805CDD"/>
    <w:rsid w:val="00827662"/>
    <w:rsid w:val="00840AC7"/>
    <w:rsid w:val="008425D0"/>
    <w:rsid w:val="0088504B"/>
    <w:rsid w:val="00892845"/>
    <w:rsid w:val="00903BCC"/>
    <w:rsid w:val="009062D4"/>
    <w:rsid w:val="00920968"/>
    <w:rsid w:val="00981F00"/>
    <w:rsid w:val="00987E91"/>
    <w:rsid w:val="009B0F9A"/>
    <w:rsid w:val="009B6C50"/>
    <w:rsid w:val="009D4922"/>
    <w:rsid w:val="00A30077"/>
    <w:rsid w:val="00A40E0E"/>
    <w:rsid w:val="00A50F46"/>
    <w:rsid w:val="00A52C81"/>
    <w:rsid w:val="00AB020B"/>
    <w:rsid w:val="00AD09A1"/>
    <w:rsid w:val="00AE0F83"/>
    <w:rsid w:val="00B35246"/>
    <w:rsid w:val="00B6770C"/>
    <w:rsid w:val="00B87903"/>
    <w:rsid w:val="00BE77B1"/>
    <w:rsid w:val="00C1020A"/>
    <w:rsid w:val="00C22676"/>
    <w:rsid w:val="00C63C18"/>
    <w:rsid w:val="00C94CE1"/>
    <w:rsid w:val="00CE1DEF"/>
    <w:rsid w:val="00CE2D41"/>
    <w:rsid w:val="00D357E3"/>
    <w:rsid w:val="00D75EEB"/>
    <w:rsid w:val="00D90E2A"/>
    <w:rsid w:val="00DA5B22"/>
    <w:rsid w:val="00DD7E90"/>
    <w:rsid w:val="00E2733A"/>
    <w:rsid w:val="00E27EB5"/>
    <w:rsid w:val="00E30D07"/>
    <w:rsid w:val="00E44FA2"/>
    <w:rsid w:val="00EA0CBD"/>
    <w:rsid w:val="00ED4F85"/>
    <w:rsid w:val="00EE7469"/>
    <w:rsid w:val="00EF137D"/>
    <w:rsid w:val="00F4057B"/>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FA05-8295-44D2-B26B-014C272C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3364</Words>
  <Characters>18168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2017-04-12T14:56:00Z</dcterms:created>
  <dcterms:modified xsi:type="dcterms:W3CDTF">2017-04-12T14:58:00Z</dcterms:modified>
</cp:coreProperties>
</file>