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BA49D4">
        <w:rPr>
          <w:sz w:val="30"/>
          <w:szCs w:val="30"/>
        </w:rPr>
        <w:t>1.</w:t>
      </w:r>
      <w:r w:rsidR="00423099">
        <w:rPr>
          <w:sz w:val="30"/>
          <w:szCs w:val="30"/>
        </w:rPr>
        <w:t>6</w:t>
      </w:r>
      <w:bookmarkStart w:id="0" w:name="_GoBack"/>
      <w:bookmarkEnd w:id="0"/>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036429">
      <w:pPr>
        <w:tabs>
          <w:tab w:val="clear" w:pos="1530"/>
        </w:tabs>
        <w:spacing w:after="160" w:line="259" w:lineRule="auto"/>
        <w:ind w:firstLine="0"/>
        <w:jc w:val="center"/>
      </w:pPr>
      <w:r>
        <w:t>2015</w:t>
      </w:r>
      <w:r w:rsidR="00B65BB9">
        <w:br w:type="page"/>
      </w:r>
    </w:p>
    <w:p w:rsidR="00E1280F"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30077302" w:history="1">
        <w:r w:rsidR="00E1280F" w:rsidRPr="00866412">
          <w:rPr>
            <w:rStyle w:val="Hyperlink"/>
            <w:noProof/>
          </w:rPr>
          <w:t>1</w:t>
        </w:r>
        <w:r w:rsidR="00E1280F">
          <w:rPr>
            <w:rFonts w:asciiTheme="minorHAnsi" w:eastAsiaTheme="minorEastAsia" w:hAnsiTheme="minorHAnsi"/>
            <w:b w:val="0"/>
            <w:bCs w:val="0"/>
            <w:caps w:val="0"/>
            <w:noProof/>
            <w:sz w:val="22"/>
            <w:szCs w:val="22"/>
            <w:lang w:eastAsia="pt-BR"/>
          </w:rPr>
          <w:tab/>
        </w:r>
        <w:r w:rsidR="00E1280F" w:rsidRPr="00866412">
          <w:rPr>
            <w:rStyle w:val="Hyperlink"/>
            <w:noProof/>
          </w:rPr>
          <w:t>INTRODUÇÃO</w:t>
        </w:r>
        <w:r w:rsidR="00E1280F">
          <w:rPr>
            <w:noProof/>
            <w:webHidden/>
          </w:rPr>
          <w:tab/>
        </w:r>
        <w:r w:rsidR="00E1280F">
          <w:rPr>
            <w:noProof/>
            <w:webHidden/>
          </w:rPr>
          <w:fldChar w:fldCharType="begin"/>
        </w:r>
        <w:r w:rsidR="00E1280F">
          <w:rPr>
            <w:noProof/>
            <w:webHidden/>
          </w:rPr>
          <w:instrText xml:space="preserve"> PAGEREF _Toc430077302 \h </w:instrText>
        </w:r>
        <w:r w:rsidR="00E1280F">
          <w:rPr>
            <w:noProof/>
            <w:webHidden/>
          </w:rPr>
        </w:r>
        <w:r w:rsidR="00E1280F">
          <w:rPr>
            <w:noProof/>
            <w:webHidden/>
          </w:rPr>
          <w:fldChar w:fldCharType="separate"/>
        </w:r>
        <w:r w:rsidR="00E1280F">
          <w:rPr>
            <w:noProof/>
            <w:webHidden/>
          </w:rPr>
          <w:t>3</w:t>
        </w:r>
        <w:r w:rsidR="00E1280F">
          <w:rPr>
            <w:noProof/>
            <w:webHidden/>
          </w:rPr>
          <w:fldChar w:fldCharType="end"/>
        </w:r>
      </w:hyperlink>
    </w:p>
    <w:p w:rsidR="00E1280F" w:rsidRDefault="0062203A">
      <w:pPr>
        <w:pStyle w:val="Sumrio2"/>
        <w:tabs>
          <w:tab w:val="left" w:pos="1540"/>
          <w:tab w:val="right" w:leader="dot" w:pos="8494"/>
        </w:tabs>
        <w:rPr>
          <w:rFonts w:eastAsiaTheme="minorEastAsia"/>
          <w:b w:val="0"/>
          <w:bCs w:val="0"/>
          <w:noProof/>
          <w:sz w:val="22"/>
          <w:szCs w:val="22"/>
          <w:lang w:eastAsia="pt-BR"/>
        </w:rPr>
      </w:pPr>
      <w:hyperlink w:anchor="_Toc430077303" w:history="1">
        <w:r w:rsidR="00E1280F" w:rsidRPr="00866412">
          <w:rPr>
            <w:rStyle w:val="Hyperlink"/>
            <w:noProof/>
          </w:rPr>
          <w:t>1.1</w:t>
        </w:r>
        <w:r w:rsidR="00E1280F">
          <w:rPr>
            <w:rFonts w:eastAsiaTheme="minorEastAsia"/>
            <w:b w:val="0"/>
            <w:bCs w:val="0"/>
            <w:noProof/>
            <w:sz w:val="22"/>
            <w:szCs w:val="22"/>
            <w:lang w:eastAsia="pt-BR"/>
          </w:rPr>
          <w:tab/>
        </w:r>
        <w:r w:rsidR="00E1280F" w:rsidRPr="00866412">
          <w:rPr>
            <w:rStyle w:val="Hyperlink"/>
            <w:noProof/>
          </w:rPr>
          <w:t>Gerenciamento Eletrônico de Documentos (GED)</w:t>
        </w:r>
        <w:r w:rsidR="00E1280F">
          <w:rPr>
            <w:noProof/>
            <w:webHidden/>
          </w:rPr>
          <w:tab/>
        </w:r>
        <w:r w:rsidR="00E1280F">
          <w:rPr>
            <w:noProof/>
            <w:webHidden/>
          </w:rPr>
          <w:fldChar w:fldCharType="begin"/>
        </w:r>
        <w:r w:rsidR="00E1280F">
          <w:rPr>
            <w:noProof/>
            <w:webHidden/>
          </w:rPr>
          <w:instrText xml:space="preserve"> PAGEREF _Toc430077303 \h </w:instrText>
        </w:r>
        <w:r w:rsidR="00E1280F">
          <w:rPr>
            <w:noProof/>
            <w:webHidden/>
          </w:rPr>
        </w:r>
        <w:r w:rsidR="00E1280F">
          <w:rPr>
            <w:noProof/>
            <w:webHidden/>
          </w:rPr>
          <w:fldChar w:fldCharType="separate"/>
        </w:r>
        <w:r w:rsidR="00E1280F">
          <w:rPr>
            <w:noProof/>
            <w:webHidden/>
          </w:rPr>
          <w:t>3</w:t>
        </w:r>
        <w:r w:rsidR="00E1280F">
          <w:rPr>
            <w:noProof/>
            <w:webHidden/>
          </w:rPr>
          <w:fldChar w:fldCharType="end"/>
        </w:r>
      </w:hyperlink>
    </w:p>
    <w:p w:rsidR="00E1280F" w:rsidRDefault="0062203A">
      <w:pPr>
        <w:pStyle w:val="Sumrio2"/>
        <w:tabs>
          <w:tab w:val="left" w:pos="1540"/>
          <w:tab w:val="right" w:leader="dot" w:pos="8494"/>
        </w:tabs>
        <w:rPr>
          <w:rFonts w:eastAsiaTheme="minorEastAsia"/>
          <w:b w:val="0"/>
          <w:bCs w:val="0"/>
          <w:noProof/>
          <w:sz w:val="22"/>
          <w:szCs w:val="22"/>
          <w:lang w:eastAsia="pt-BR"/>
        </w:rPr>
      </w:pPr>
      <w:hyperlink w:anchor="_Toc430077304" w:history="1">
        <w:r w:rsidR="00E1280F" w:rsidRPr="00866412">
          <w:rPr>
            <w:rStyle w:val="Hyperlink"/>
            <w:noProof/>
          </w:rPr>
          <w:t>1.2</w:t>
        </w:r>
        <w:r w:rsidR="00E1280F">
          <w:rPr>
            <w:rFonts w:eastAsiaTheme="minorEastAsia"/>
            <w:b w:val="0"/>
            <w:bCs w:val="0"/>
            <w:noProof/>
            <w:sz w:val="22"/>
            <w:szCs w:val="22"/>
            <w:lang w:eastAsia="pt-BR"/>
          </w:rPr>
          <w:tab/>
        </w:r>
        <w:r w:rsidR="00E1280F" w:rsidRPr="00866412">
          <w:rPr>
            <w:rStyle w:val="Hyperlink"/>
            <w:noProof/>
          </w:rPr>
          <w:t>Sistema Informatizado de Gestão Arquivística de Documentos (SIGAD)</w:t>
        </w:r>
        <w:r w:rsidR="00E1280F">
          <w:rPr>
            <w:noProof/>
            <w:webHidden/>
          </w:rPr>
          <w:tab/>
        </w:r>
        <w:r w:rsidR="00E1280F">
          <w:rPr>
            <w:noProof/>
            <w:webHidden/>
          </w:rPr>
          <w:fldChar w:fldCharType="begin"/>
        </w:r>
        <w:r w:rsidR="00E1280F">
          <w:rPr>
            <w:noProof/>
            <w:webHidden/>
          </w:rPr>
          <w:instrText xml:space="preserve"> PAGEREF _Toc430077304 \h </w:instrText>
        </w:r>
        <w:r w:rsidR="00E1280F">
          <w:rPr>
            <w:noProof/>
            <w:webHidden/>
          </w:rPr>
        </w:r>
        <w:r w:rsidR="00E1280F">
          <w:rPr>
            <w:noProof/>
            <w:webHidden/>
          </w:rPr>
          <w:fldChar w:fldCharType="separate"/>
        </w:r>
        <w:r w:rsidR="00E1280F">
          <w:rPr>
            <w:noProof/>
            <w:webHidden/>
          </w:rPr>
          <w:t>3</w:t>
        </w:r>
        <w:r w:rsidR="00E1280F">
          <w:rPr>
            <w:noProof/>
            <w:webHidden/>
          </w:rPr>
          <w:fldChar w:fldCharType="end"/>
        </w:r>
      </w:hyperlink>
    </w:p>
    <w:p w:rsidR="00E1280F" w:rsidRDefault="0062203A">
      <w:pPr>
        <w:pStyle w:val="Sumrio2"/>
        <w:tabs>
          <w:tab w:val="left" w:pos="1540"/>
          <w:tab w:val="right" w:leader="dot" w:pos="8494"/>
        </w:tabs>
        <w:rPr>
          <w:rFonts w:eastAsiaTheme="minorEastAsia"/>
          <w:b w:val="0"/>
          <w:bCs w:val="0"/>
          <w:noProof/>
          <w:sz w:val="22"/>
          <w:szCs w:val="22"/>
          <w:lang w:eastAsia="pt-BR"/>
        </w:rPr>
      </w:pPr>
      <w:hyperlink w:anchor="_Toc430077305" w:history="1">
        <w:r w:rsidR="00E1280F" w:rsidRPr="00866412">
          <w:rPr>
            <w:rStyle w:val="Hyperlink"/>
            <w:noProof/>
          </w:rPr>
          <w:t>1.3</w:t>
        </w:r>
        <w:r w:rsidR="00E1280F">
          <w:rPr>
            <w:rFonts w:eastAsiaTheme="minorEastAsia"/>
            <w:b w:val="0"/>
            <w:bCs w:val="0"/>
            <w:noProof/>
            <w:sz w:val="22"/>
            <w:szCs w:val="22"/>
            <w:lang w:eastAsia="pt-BR"/>
          </w:rPr>
          <w:tab/>
        </w:r>
        <w:r w:rsidR="00E1280F" w:rsidRPr="00866412">
          <w:rPr>
            <w:rStyle w:val="Hyperlink"/>
            <w:noProof/>
          </w:rPr>
          <w:t>O que é o SAPIENS?</w:t>
        </w:r>
        <w:r w:rsidR="00E1280F">
          <w:rPr>
            <w:noProof/>
            <w:webHidden/>
          </w:rPr>
          <w:tab/>
        </w:r>
        <w:r w:rsidR="00E1280F">
          <w:rPr>
            <w:noProof/>
            <w:webHidden/>
          </w:rPr>
          <w:fldChar w:fldCharType="begin"/>
        </w:r>
        <w:r w:rsidR="00E1280F">
          <w:rPr>
            <w:noProof/>
            <w:webHidden/>
          </w:rPr>
          <w:instrText xml:space="preserve"> PAGEREF _Toc430077305 \h </w:instrText>
        </w:r>
        <w:r w:rsidR="00E1280F">
          <w:rPr>
            <w:noProof/>
            <w:webHidden/>
          </w:rPr>
        </w:r>
        <w:r w:rsidR="00E1280F">
          <w:rPr>
            <w:noProof/>
            <w:webHidden/>
          </w:rPr>
          <w:fldChar w:fldCharType="separate"/>
        </w:r>
        <w:r w:rsidR="00E1280F">
          <w:rPr>
            <w:noProof/>
            <w:webHidden/>
          </w:rPr>
          <w:t>4</w:t>
        </w:r>
        <w:r w:rsidR="00E1280F">
          <w:rPr>
            <w:noProof/>
            <w:webHidden/>
          </w:rPr>
          <w:fldChar w:fldCharType="end"/>
        </w:r>
      </w:hyperlink>
    </w:p>
    <w:p w:rsidR="00E1280F" w:rsidRDefault="0062203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7306" w:history="1">
        <w:r w:rsidR="00E1280F" w:rsidRPr="00866412">
          <w:rPr>
            <w:rStyle w:val="Hyperlink"/>
            <w:noProof/>
          </w:rPr>
          <w:t>2</w:t>
        </w:r>
        <w:r w:rsidR="00E1280F">
          <w:rPr>
            <w:rFonts w:asciiTheme="minorHAnsi" w:eastAsiaTheme="minorEastAsia" w:hAnsiTheme="minorHAnsi"/>
            <w:b w:val="0"/>
            <w:bCs w:val="0"/>
            <w:caps w:val="0"/>
            <w:noProof/>
            <w:sz w:val="22"/>
            <w:szCs w:val="22"/>
            <w:lang w:eastAsia="pt-BR"/>
          </w:rPr>
          <w:tab/>
        </w:r>
        <w:r w:rsidR="00E1280F" w:rsidRPr="00866412">
          <w:rPr>
            <w:rStyle w:val="Hyperlink"/>
            <w:noProof/>
          </w:rPr>
          <w:t>DISTRIBUIDOR</w:t>
        </w:r>
        <w:r w:rsidR="00E1280F">
          <w:rPr>
            <w:noProof/>
            <w:webHidden/>
          </w:rPr>
          <w:tab/>
        </w:r>
        <w:r w:rsidR="00E1280F">
          <w:rPr>
            <w:noProof/>
            <w:webHidden/>
          </w:rPr>
          <w:fldChar w:fldCharType="begin"/>
        </w:r>
        <w:r w:rsidR="00E1280F">
          <w:rPr>
            <w:noProof/>
            <w:webHidden/>
          </w:rPr>
          <w:instrText xml:space="preserve"> PAGEREF _Toc430077306 \h </w:instrText>
        </w:r>
        <w:r w:rsidR="00E1280F">
          <w:rPr>
            <w:noProof/>
            <w:webHidden/>
          </w:rPr>
        </w:r>
        <w:r w:rsidR="00E1280F">
          <w:rPr>
            <w:noProof/>
            <w:webHidden/>
          </w:rPr>
          <w:fldChar w:fldCharType="separate"/>
        </w:r>
        <w:r w:rsidR="00E1280F">
          <w:rPr>
            <w:noProof/>
            <w:webHidden/>
          </w:rPr>
          <w:t>5</w:t>
        </w:r>
        <w:r w:rsidR="00E1280F">
          <w:rPr>
            <w:noProof/>
            <w:webHidden/>
          </w:rPr>
          <w:fldChar w:fldCharType="end"/>
        </w:r>
      </w:hyperlink>
    </w:p>
    <w:p w:rsidR="00E1280F" w:rsidRDefault="0062203A">
      <w:pPr>
        <w:pStyle w:val="Sumrio2"/>
        <w:tabs>
          <w:tab w:val="left" w:pos="1540"/>
          <w:tab w:val="right" w:leader="dot" w:pos="8494"/>
        </w:tabs>
        <w:rPr>
          <w:rFonts w:eastAsiaTheme="minorEastAsia"/>
          <w:b w:val="0"/>
          <w:bCs w:val="0"/>
          <w:noProof/>
          <w:sz w:val="22"/>
          <w:szCs w:val="22"/>
          <w:lang w:eastAsia="pt-BR"/>
        </w:rPr>
      </w:pPr>
      <w:hyperlink w:anchor="_Toc430077307" w:history="1">
        <w:r w:rsidR="00E1280F" w:rsidRPr="00866412">
          <w:rPr>
            <w:rStyle w:val="Hyperlink"/>
            <w:noProof/>
          </w:rPr>
          <w:t>2.1</w:t>
        </w:r>
        <w:r w:rsidR="00E1280F">
          <w:rPr>
            <w:rFonts w:eastAsiaTheme="minorEastAsia"/>
            <w:b w:val="0"/>
            <w:bCs w:val="0"/>
            <w:noProof/>
            <w:sz w:val="22"/>
            <w:szCs w:val="22"/>
            <w:lang w:eastAsia="pt-BR"/>
          </w:rPr>
          <w:tab/>
        </w:r>
        <w:r w:rsidR="00E1280F" w:rsidRPr="00866412">
          <w:rPr>
            <w:rStyle w:val="Hyperlink"/>
            <w:noProof/>
          </w:rPr>
          <w:t>Atributo de Lotação</w:t>
        </w:r>
        <w:r w:rsidR="00E1280F">
          <w:rPr>
            <w:noProof/>
            <w:webHidden/>
          </w:rPr>
          <w:tab/>
        </w:r>
        <w:r w:rsidR="00E1280F">
          <w:rPr>
            <w:noProof/>
            <w:webHidden/>
          </w:rPr>
          <w:fldChar w:fldCharType="begin"/>
        </w:r>
        <w:r w:rsidR="00E1280F">
          <w:rPr>
            <w:noProof/>
            <w:webHidden/>
          </w:rPr>
          <w:instrText xml:space="preserve"> PAGEREF _Toc430077307 \h </w:instrText>
        </w:r>
        <w:r w:rsidR="00E1280F">
          <w:rPr>
            <w:noProof/>
            <w:webHidden/>
          </w:rPr>
        </w:r>
        <w:r w:rsidR="00E1280F">
          <w:rPr>
            <w:noProof/>
            <w:webHidden/>
          </w:rPr>
          <w:fldChar w:fldCharType="separate"/>
        </w:r>
        <w:r w:rsidR="00E1280F">
          <w:rPr>
            <w:noProof/>
            <w:webHidden/>
          </w:rPr>
          <w:t>5</w:t>
        </w:r>
        <w:r w:rsidR="00E1280F">
          <w:rPr>
            <w:noProof/>
            <w:webHidden/>
          </w:rPr>
          <w:fldChar w:fldCharType="end"/>
        </w:r>
      </w:hyperlink>
    </w:p>
    <w:p w:rsidR="00E1280F" w:rsidRDefault="0062203A">
      <w:pPr>
        <w:pStyle w:val="Sumrio2"/>
        <w:tabs>
          <w:tab w:val="left" w:pos="1540"/>
          <w:tab w:val="right" w:leader="dot" w:pos="8494"/>
        </w:tabs>
        <w:rPr>
          <w:rFonts w:eastAsiaTheme="minorEastAsia"/>
          <w:b w:val="0"/>
          <w:bCs w:val="0"/>
          <w:noProof/>
          <w:sz w:val="22"/>
          <w:szCs w:val="22"/>
          <w:lang w:eastAsia="pt-BR"/>
        </w:rPr>
      </w:pPr>
      <w:hyperlink w:anchor="_Toc430077308" w:history="1">
        <w:r w:rsidR="00E1280F" w:rsidRPr="00866412">
          <w:rPr>
            <w:rStyle w:val="Hyperlink"/>
            <w:noProof/>
          </w:rPr>
          <w:t>2.2</w:t>
        </w:r>
        <w:r w:rsidR="00E1280F">
          <w:rPr>
            <w:rFonts w:eastAsiaTheme="minorEastAsia"/>
            <w:b w:val="0"/>
            <w:bCs w:val="0"/>
            <w:noProof/>
            <w:sz w:val="22"/>
            <w:szCs w:val="22"/>
            <w:lang w:eastAsia="pt-BR"/>
          </w:rPr>
          <w:tab/>
        </w:r>
        <w:r w:rsidR="00E1280F" w:rsidRPr="00866412">
          <w:rPr>
            <w:rStyle w:val="Hyperlink"/>
            <w:noProof/>
          </w:rPr>
          <w:t>Papel e Responsabilidades</w:t>
        </w:r>
        <w:r w:rsidR="00E1280F">
          <w:rPr>
            <w:noProof/>
            <w:webHidden/>
          </w:rPr>
          <w:tab/>
        </w:r>
        <w:r w:rsidR="00E1280F">
          <w:rPr>
            <w:noProof/>
            <w:webHidden/>
          </w:rPr>
          <w:fldChar w:fldCharType="begin"/>
        </w:r>
        <w:r w:rsidR="00E1280F">
          <w:rPr>
            <w:noProof/>
            <w:webHidden/>
          </w:rPr>
          <w:instrText xml:space="preserve"> PAGEREF _Toc430077308 \h </w:instrText>
        </w:r>
        <w:r w:rsidR="00E1280F">
          <w:rPr>
            <w:noProof/>
            <w:webHidden/>
          </w:rPr>
        </w:r>
        <w:r w:rsidR="00E1280F">
          <w:rPr>
            <w:noProof/>
            <w:webHidden/>
          </w:rPr>
          <w:fldChar w:fldCharType="separate"/>
        </w:r>
        <w:r w:rsidR="00E1280F">
          <w:rPr>
            <w:noProof/>
            <w:webHidden/>
          </w:rPr>
          <w:t>5</w:t>
        </w:r>
        <w:r w:rsidR="00E1280F">
          <w:rPr>
            <w:noProof/>
            <w:webHidden/>
          </w:rPr>
          <w:fldChar w:fldCharType="end"/>
        </w:r>
      </w:hyperlink>
    </w:p>
    <w:p w:rsidR="00E1280F" w:rsidRDefault="0062203A">
      <w:pPr>
        <w:pStyle w:val="Sumrio3"/>
        <w:tabs>
          <w:tab w:val="left" w:pos="1696"/>
          <w:tab w:val="right" w:leader="dot" w:pos="8494"/>
        </w:tabs>
        <w:rPr>
          <w:rFonts w:eastAsiaTheme="minorEastAsia"/>
          <w:noProof/>
          <w:sz w:val="22"/>
          <w:szCs w:val="22"/>
          <w:lang w:eastAsia="pt-BR"/>
        </w:rPr>
      </w:pPr>
      <w:hyperlink w:anchor="_Toc430077309" w:history="1">
        <w:r w:rsidR="00E1280F" w:rsidRPr="00866412">
          <w:rPr>
            <w:rStyle w:val="Hyperlink"/>
            <w:noProof/>
          </w:rPr>
          <w:t>2.2.1</w:t>
        </w:r>
        <w:r w:rsidR="00E1280F">
          <w:rPr>
            <w:rFonts w:eastAsiaTheme="minorEastAsia"/>
            <w:noProof/>
            <w:sz w:val="22"/>
            <w:szCs w:val="22"/>
            <w:lang w:eastAsia="pt-BR"/>
          </w:rPr>
          <w:tab/>
        </w:r>
        <w:r w:rsidR="00E1280F" w:rsidRPr="00866412">
          <w:rPr>
            <w:rStyle w:val="Hyperlink"/>
            <w:noProof/>
          </w:rPr>
          <w:t>Redistribuição de Tarefa</w:t>
        </w:r>
        <w:r w:rsidR="00E1280F">
          <w:rPr>
            <w:noProof/>
            <w:webHidden/>
          </w:rPr>
          <w:tab/>
        </w:r>
        <w:r w:rsidR="00E1280F">
          <w:rPr>
            <w:noProof/>
            <w:webHidden/>
          </w:rPr>
          <w:fldChar w:fldCharType="begin"/>
        </w:r>
        <w:r w:rsidR="00E1280F">
          <w:rPr>
            <w:noProof/>
            <w:webHidden/>
          </w:rPr>
          <w:instrText xml:space="preserve"> PAGEREF _Toc430077309 \h </w:instrText>
        </w:r>
        <w:r w:rsidR="00E1280F">
          <w:rPr>
            <w:noProof/>
            <w:webHidden/>
          </w:rPr>
        </w:r>
        <w:r w:rsidR="00E1280F">
          <w:rPr>
            <w:noProof/>
            <w:webHidden/>
          </w:rPr>
          <w:fldChar w:fldCharType="separate"/>
        </w:r>
        <w:r w:rsidR="00E1280F">
          <w:rPr>
            <w:noProof/>
            <w:webHidden/>
          </w:rPr>
          <w:t>5</w:t>
        </w:r>
        <w:r w:rsidR="00E1280F">
          <w:rPr>
            <w:noProof/>
            <w:webHidden/>
          </w:rPr>
          <w:fldChar w:fldCharType="end"/>
        </w:r>
      </w:hyperlink>
    </w:p>
    <w:p w:rsidR="00E1280F" w:rsidRDefault="0062203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7310" w:history="1">
        <w:r w:rsidR="00E1280F" w:rsidRPr="00866412">
          <w:rPr>
            <w:rStyle w:val="Hyperlink"/>
            <w:noProof/>
          </w:rPr>
          <w:t>3</w:t>
        </w:r>
        <w:r w:rsidR="00E1280F">
          <w:rPr>
            <w:rFonts w:asciiTheme="minorHAnsi" w:eastAsiaTheme="minorEastAsia" w:hAnsiTheme="minorHAnsi"/>
            <w:b w:val="0"/>
            <w:bCs w:val="0"/>
            <w:caps w:val="0"/>
            <w:noProof/>
            <w:sz w:val="22"/>
            <w:szCs w:val="22"/>
            <w:lang w:eastAsia="pt-BR"/>
          </w:rPr>
          <w:tab/>
        </w:r>
        <w:r w:rsidR="00E1280F" w:rsidRPr="00866412">
          <w:rPr>
            <w:rStyle w:val="Hyperlink"/>
            <w:noProof/>
          </w:rPr>
          <w:t>DISTRIBUIDOR JUDICIAL</w:t>
        </w:r>
        <w:r w:rsidR="00E1280F">
          <w:rPr>
            <w:noProof/>
            <w:webHidden/>
          </w:rPr>
          <w:tab/>
        </w:r>
        <w:r w:rsidR="00E1280F">
          <w:rPr>
            <w:noProof/>
            <w:webHidden/>
          </w:rPr>
          <w:fldChar w:fldCharType="begin"/>
        </w:r>
        <w:r w:rsidR="00E1280F">
          <w:rPr>
            <w:noProof/>
            <w:webHidden/>
          </w:rPr>
          <w:instrText xml:space="preserve"> PAGEREF _Toc430077310 \h </w:instrText>
        </w:r>
        <w:r w:rsidR="00E1280F">
          <w:rPr>
            <w:noProof/>
            <w:webHidden/>
          </w:rPr>
        </w:r>
        <w:r w:rsidR="00E1280F">
          <w:rPr>
            <w:noProof/>
            <w:webHidden/>
          </w:rPr>
          <w:fldChar w:fldCharType="separate"/>
        </w:r>
        <w:r w:rsidR="00E1280F">
          <w:rPr>
            <w:noProof/>
            <w:webHidden/>
          </w:rPr>
          <w:t>6</w:t>
        </w:r>
        <w:r w:rsidR="00E1280F">
          <w:rPr>
            <w:noProof/>
            <w:webHidden/>
          </w:rPr>
          <w:fldChar w:fldCharType="end"/>
        </w:r>
      </w:hyperlink>
    </w:p>
    <w:p w:rsidR="00E1280F" w:rsidRDefault="0062203A">
      <w:pPr>
        <w:pStyle w:val="Sumrio2"/>
        <w:tabs>
          <w:tab w:val="left" w:pos="1540"/>
          <w:tab w:val="right" w:leader="dot" w:pos="8494"/>
        </w:tabs>
        <w:rPr>
          <w:rFonts w:eastAsiaTheme="minorEastAsia"/>
          <w:b w:val="0"/>
          <w:bCs w:val="0"/>
          <w:noProof/>
          <w:sz w:val="22"/>
          <w:szCs w:val="22"/>
          <w:lang w:eastAsia="pt-BR"/>
        </w:rPr>
      </w:pPr>
      <w:hyperlink w:anchor="_Toc430077311" w:history="1">
        <w:r w:rsidR="00E1280F" w:rsidRPr="00866412">
          <w:rPr>
            <w:rStyle w:val="Hyperlink"/>
            <w:noProof/>
          </w:rPr>
          <w:t>3.1</w:t>
        </w:r>
        <w:r w:rsidR="00E1280F">
          <w:rPr>
            <w:rFonts w:eastAsiaTheme="minorEastAsia"/>
            <w:b w:val="0"/>
            <w:bCs w:val="0"/>
            <w:noProof/>
            <w:sz w:val="22"/>
            <w:szCs w:val="22"/>
            <w:lang w:eastAsia="pt-BR"/>
          </w:rPr>
          <w:tab/>
        </w:r>
        <w:r w:rsidR="00E1280F" w:rsidRPr="00866412">
          <w:rPr>
            <w:rStyle w:val="Hyperlink"/>
            <w:i/>
            <w:noProof/>
          </w:rPr>
          <w:t>Grid</w:t>
        </w:r>
        <w:r w:rsidR="00E1280F" w:rsidRPr="00866412">
          <w:rPr>
            <w:rStyle w:val="Hyperlink"/>
            <w:noProof/>
          </w:rPr>
          <w:t xml:space="preserve"> de Intimações</w:t>
        </w:r>
        <w:r w:rsidR="00E1280F">
          <w:rPr>
            <w:noProof/>
            <w:webHidden/>
          </w:rPr>
          <w:tab/>
        </w:r>
        <w:r w:rsidR="00E1280F">
          <w:rPr>
            <w:noProof/>
            <w:webHidden/>
          </w:rPr>
          <w:fldChar w:fldCharType="begin"/>
        </w:r>
        <w:r w:rsidR="00E1280F">
          <w:rPr>
            <w:noProof/>
            <w:webHidden/>
          </w:rPr>
          <w:instrText xml:space="preserve"> PAGEREF _Toc430077311 \h </w:instrText>
        </w:r>
        <w:r w:rsidR="00E1280F">
          <w:rPr>
            <w:noProof/>
            <w:webHidden/>
          </w:rPr>
        </w:r>
        <w:r w:rsidR="00E1280F">
          <w:rPr>
            <w:noProof/>
            <w:webHidden/>
          </w:rPr>
          <w:fldChar w:fldCharType="separate"/>
        </w:r>
        <w:r w:rsidR="00E1280F">
          <w:rPr>
            <w:noProof/>
            <w:webHidden/>
          </w:rPr>
          <w:t>6</w:t>
        </w:r>
        <w:r w:rsidR="00E1280F">
          <w:rPr>
            <w:noProof/>
            <w:webHidden/>
          </w:rPr>
          <w:fldChar w:fldCharType="end"/>
        </w:r>
      </w:hyperlink>
    </w:p>
    <w:p w:rsidR="00E1280F" w:rsidRDefault="0062203A">
      <w:pPr>
        <w:pStyle w:val="Sumrio3"/>
        <w:tabs>
          <w:tab w:val="left" w:pos="1696"/>
          <w:tab w:val="right" w:leader="dot" w:pos="8494"/>
        </w:tabs>
        <w:rPr>
          <w:rFonts w:eastAsiaTheme="minorEastAsia"/>
          <w:noProof/>
          <w:sz w:val="22"/>
          <w:szCs w:val="22"/>
          <w:lang w:eastAsia="pt-BR"/>
        </w:rPr>
      </w:pPr>
      <w:hyperlink w:anchor="_Toc430077312" w:history="1">
        <w:r w:rsidR="00E1280F" w:rsidRPr="00866412">
          <w:rPr>
            <w:rStyle w:val="Hyperlink"/>
            <w:noProof/>
          </w:rPr>
          <w:t>3.1.1</w:t>
        </w:r>
        <w:r w:rsidR="00E1280F">
          <w:rPr>
            <w:rFonts w:eastAsiaTheme="minorEastAsia"/>
            <w:noProof/>
            <w:sz w:val="22"/>
            <w:szCs w:val="22"/>
            <w:lang w:eastAsia="pt-BR"/>
          </w:rPr>
          <w:tab/>
        </w:r>
        <w:r w:rsidR="00E1280F" w:rsidRPr="00866412">
          <w:rPr>
            <w:rStyle w:val="Hyperlink"/>
            <w:noProof/>
          </w:rPr>
          <w:t>Integração com o Poder Judiciário</w:t>
        </w:r>
        <w:r w:rsidR="00E1280F">
          <w:rPr>
            <w:noProof/>
            <w:webHidden/>
          </w:rPr>
          <w:tab/>
        </w:r>
        <w:r w:rsidR="00E1280F">
          <w:rPr>
            <w:noProof/>
            <w:webHidden/>
          </w:rPr>
          <w:fldChar w:fldCharType="begin"/>
        </w:r>
        <w:r w:rsidR="00E1280F">
          <w:rPr>
            <w:noProof/>
            <w:webHidden/>
          </w:rPr>
          <w:instrText xml:space="preserve"> PAGEREF _Toc430077312 \h </w:instrText>
        </w:r>
        <w:r w:rsidR="00E1280F">
          <w:rPr>
            <w:noProof/>
            <w:webHidden/>
          </w:rPr>
        </w:r>
        <w:r w:rsidR="00E1280F">
          <w:rPr>
            <w:noProof/>
            <w:webHidden/>
          </w:rPr>
          <w:fldChar w:fldCharType="separate"/>
        </w:r>
        <w:r w:rsidR="00E1280F">
          <w:rPr>
            <w:noProof/>
            <w:webHidden/>
          </w:rPr>
          <w:t>7</w:t>
        </w:r>
        <w:r w:rsidR="00E1280F">
          <w:rPr>
            <w:noProof/>
            <w:webHidden/>
          </w:rPr>
          <w:fldChar w:fldCharType="end"/>
        </w:r>
      </w:hyperlink>
    </w:p>
    <w:p w:rsidR="00E1280F" w:rsidRDefault="0062203A">
      <w:pPr>
        <w:pStyle w:val="Sumrio2"/>
        <w:tabs>
          <w:tab w:val="left" w:pos="1540"/>
          <w:tab w:val="right" w:leader="dot" w:pos="8494"/>
        </w:tabs>
        <w:rPr>
          <w:rFonts w:eastAsiaTheme="minorEastAsia"/>
          <w:b w:val="0"/>
          <w:bCs w:val="0"/>
          <w:noProof/>
          <w:sz w:val="22"/>
          <w:szCs w:val="22"/>
          <w:lang w:eastAsia="pt-BR"/>
        </w:rPr>
      </w:pPr>
      <w:hyperlink w:anchor="_Toc430077313" w:history="1">
        <w:r w:rsidR="00E1280F" w:rsidRPr="00866412">
          <w:rPr>
            <w:rStyle w:val="Hyperlink"/>
            <w:noProof/>
          </w:rPr>
          <w:t>3.2</w:t>
        </w:r>
        <w:r w:rsidR="00E1280F">
          <w:rPr>
            <w:rFonts w:eastAsiaTheme="minorEastAsia"/>
            <w:b w:val="0"/>
            <w:bCs w:val="0"/>
            <w:noProof/>
            <w:sz w:val="22"/>
            <w:szCs w:val="22"/>
            <w:lang w:eastAsia="pt-BR"/>
          </w:rPr>
          <w:tab/>
        </w:r>
        <w:r w:rsidR="00E1280F" w:rsidRPr="00866412">
          <w:rPr>
            <w:rStyle w:val="Hyperlink"/>
            <w:noProof/>
          </w:rPr>
          <w:t>Ausência de Integração com o Poder Judiciário</w:t>
        </w:r>
        <w:r w:rsidR="00E1280F">
          <w:rPr>
            <w:noProof/>
            <w:webHidden/>
          </w:rPr>
          <w:tab/>
        </w:r>
        <w:r w:rsidR="00E1280F">
          <w:rPr>
            <w:noProof/>
            <w:webHidden/>
          </w:rPr>
          <w:fldChar w:fldCharType="begin"/>
        </w:r>
        <w:r w:rsidR="00E1280F">
          <w:rPr>
            <w:noProof/>
            <w:webHidden/>
          </w:rPr>
          <w:instrText xml:space="preserve"> PAGEREF _Toc430077313 \h </w:instrText>
        </w:r>
        <w:r w:rsidR="00E1280F">
          <w:rPr>
            <w:noProof/>
            <w:webHidden/>
          </w:rPr>
        </w:r>
        <w:r w:rsidR="00E1280F">
          <w:rPr>
            <w:noProof/>
            <w:webHidden/>
          </w:rPr>
          <w:fldChar w:fldCharType="separate"/>
        </w:r>
        <w:r w:rsidR="00E1280F">
          <w:rPr>
            <w:noProof/>
            <w:webHidden/>
          </w:rPr>
          <w:t>12</w:t>
        </w:r>
        <w:r w:rsidR="00E1280F">
          <w:rPr>
            <w:noProof/>
            <w:webHidden/>
          </w:rPr>
          <w:fldChar w:fldCharType="end"/>
        </w:r>
      </w:hyperlink>
    </w:p>
    <w:p w:rsidR="00E1280F" w:rsidRDefault="0062203A">
      <w:pPr>
        <w:pStyle w:val="Sumrio2"/>
        <w:tabs>
          <w:tab w:val="left" w:pos="1540"/>
          <w:tab w:val="right" w:leader="dot" w:pos="8494"/>
        </w:tabs>
        <w:rPr>
          <w:rFonts w:eastAsiaTheme="minorEastAsia"/>
          <w:b w:val="0"/>
          <w:bCs w:val="0"/>
          <w:noProof/>
          <w:sz w:val="22"/>
          <w:szCs w:val="22"/>
          <w:lang w:eastAsia="pt-BR"/>
        </w:rPr>
      </w:pPr>
      <w:hyperlink w:anchor="_Toc430077314" w:history="1">
        <w:r w:rsidR="00E1280F" w:rsidRPr="00866412">
          <w:rPr>
            <w:rStyle w:val="Hyperlink"/>
            <w:noProof/>
          </w:rPr>
          <w:t>3.3</w:t>
        </w:r>
        <w:r w:rsidR="00E1280F">
          <w:rPr>
            <w:rFonts w:eastAsiaTheme="minorEastAsia"/>
            <w:b w:val="0"/>
            <w:bCs w:val="0"/>
            <w:noProof/>
            <w:sz w:val="22"/>
            <w:szCs w:val="22"/>
            <w:lang w:eastAsia="pt-BR"/>
          </w:rPr>
          <w:tab/>
        </w:r>
        <w:r w:rsidR="00E1280F" w:rsidRPr="00866412">
          <w:rPr>
            <w:rStyle w:val="Hyperlink"/>
            <w:noProof/>
          </w:rPr>
          <w:t>Integração com o SICAU</w:t>
        </w:r>
        <w:r w:rsidR="00E1280F">
          <w:rPr>
            <w:noProof/>
            <w:webHidden/>
          </w:rPr>
          <w:tab/>
        </w:r>
        <w:r w:rsidR="00E1280F">
          <w:rPr>
            <w:noProof/>
            <w:webHidden/>
          </w:rPr>
          <w:fldChar w:fldCharType="begin"/>
        </w:r>
        <w:r w:rsidR="00E1280F">
          <w:rPr>
            <w:noProof/>
            <w:webHidden/>
          </w:rPr>
          <w:instrText xml:space="preserve"> PAGEREF _Toc430077314 \h </w:instrText>
        </w:r>
        <w:r w:rsidR="00E1280F">
          <w:rPr>
            <w:noProof/>
            <w:webHidden/>
          </w:rPr>
        </w:r>
        <w:r w:rsidR="00E1280F">
          <w:rPr>
            <w:noProof/>
            <w:webHidden/>
          </w:rPr>
          <w:fldChar w:fldCharType="separate"/>
        </w:r>
        <w:r w:rsidR="00E1280F">
          <w:rPr>
            <w:noProof/>
            <w:webHidden/>
          </w:rPr>
          <w:t>13</w:t>
        </w:r>
        <w:r w:rsidR="00E1280F">
          <w:rPr>
            <w:noProof/>
            <w:webHidden/>
          </w:rPr>
          <w:fldChar w:fldCharType="end"/>
        </w:r>
      </w:hyperlink>
    </w:p>
    <w:p w:rsidR="00E1280F" w:rsidRDefault="0062203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7315" w:history="1">
        <w:r w:rsidR="00E1280F" w:rsidRPr="00866412">
          <w:rPr>
            <w:rStyle w:val="Hyperlink"/>
            <w:noProof/>
          </w:rPr>
          <w:t>4</w:t>
        </w:r>
        <w:r w:rsidR="00E1280F">
          <w:rPr>
            <w:rFonts w:asciiTheme="minorHAnsi" w:eastAsiaTheme="minorEastAsia" w:hAnsiTheme="minorHAnsi"/>
            <w:b w:val="0"/>
            <w:bCs w:val="0"/>
            <w:caps w:val="0"/>
            <w:noProof/>
            <w:sz w:val="22"/>
            <w:szCs w:val="22"/>
            <w:lang w:eastAsia="pt-BR"/>
          </w:rPr>
          <w:tab/>
        </w:r>
        <w:r w:rsidR="00E1280F" w:rsidRPr="00866412">
          <w:rPr>
            <w:rStyle w:val="Hyperlink"/>
            <w:noProof/>
          </w:rPr>
          <w:t>DISTRIBUIÇÃO AUTOMÁTICA</w:t>
        </w:r>
        <w:r w:rsidR="00E1280F">
          <w:rPr>
            <w:noProof/>
            <w:webHidden/>
          </w:rPr>
          <w:tab/>
        </w:r>
        <w:r w:rsidR="00E1280F">
          <w:rPr>
            <w:noProof/>
            <w:webHidden/>
          </w:rPr>
          <w:fldChar w:fldCharType="begin"/>
        </w:r>
        <w:r w:rsidR="00E1280F">
          <w:rPr>
            <w:noProof/>
            <w:webHidden/>
          </w:rPr>
          <w:instrText xml:space="preserve"> PAGEREF _Toc430077315 \h </w:instrText>
        </w:r>
        <w:r w:rsidR="00E1280F">
          <w:rPr>
            <w:noProof/>
            <w:webHidden/>
          </w:rPr>
        </w:r>
        <w:r w:rsidR="00E1280F">
          <w:rPr>
            <w:noProof/>
            <w:webHidden/>
          </w:rPr>
          <w:fldChar w:fldCharType="separate"/>
        </w:r>
        <w:r w:rsidR="00E1280F">
          <w:rPr>
            <w:noProof/>
            <w:webHidden/>
          </w:rPr>
          <w:t>13</w:t>
        </w:r>
        <w:r w:rsidR="00E1280F">
          <w:rPr>
            <w:noProof/>
            <w:webHidden/>
          </w:rPr>
          <w:fldChar w:fldCharType="end"/>
        </w:r>
      </w:hyperlink>
    </w:p>
    <w:p w:rsidR="00E1280F" w:rsidRDefault="0062203A">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30077316" w:history="1">
        <w:r w:rsidR="00E1280F" w:rsidRPr="00866412">
          <w:rPr>
            <w:rStyle w:val="Hyperlink"/>
            <w:noProof/>
          </w:rPr>
          <w:t>5</w:t>
        </w:r>
        <w:r w:rsidR="00E1280F">
          <w:rPr>
            <w:rFonts w:asciiTheme="minorHAnsi" w:eastAsiaTheme="minorEastAsia" w:hAnsiTheme="minorHAnsi"/>
            <w:b w:val="0"/>
            <w:bCs w:val="0"/>
            <w:caps w:val="0"/>
            <w:noProof/>
            <w:sz w:val="22"/>
            <w:szCs w:val="22"/>
            <w:lang w:eastAsia="pt-BR"/>
          </w:rPr>
          <w:tab/>
        </w:r>
        <w:r w:rsidR="00E1280F" w:rsidRPr="00866412">
          <w:rPr>
            <w:rStyle w:val="Hyperlink"/>
            <w:noProof/>
          </w:rPr>
          <w:t>CONCLUSÃO</w:t>
        </w:r>
        <w:r w:rsidR="00E1280F">
          <w:rPr>
            <w:noProof/>
            <w:webHidden/>
          </w:rPr>
          <w:tab/>
        </w:r>
        <w:r w:rsidR="00E1280F">
          <w:rPr>
            <w:noProof/>
            <w:webHidden/>
          </w:rPr>
          <w:fldChar w:fldCharType="begin"/>
        </w:r>
        <w:r w:rsidR="00E1280F">
          <w:rPr>
            <w:noProof/>
            <w:webHidden/>
          </w:rPr>
          <w:instrText xml:space="preserve"> PAGEREF _Toc430077316 \h </w:instrText>
        </w:r>
        <w:r w:rsidR="00E1280F">
          <w:rPr>
            <w:noProof/>
            <w:webHidden/>
          </w:rPr>
        </w:r>
        <w:r w:rsidR="00E1280F">
          <w:rPr>
            <w:noProof/>
            <w:webHidden/>
          </w:rPr>
          <w:fldChar w:fldCharType="separate"/>
        </w:r>
        <w:r w:rsidR="00E1280F">
          <w:rPr>
            <w:noProof/>
            <w:webHidden/>
          </w:rPr>
          <w:t>13</w:t>
        </w:r>
        <w:r w:rsidR="00E1280F">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1" w:name="_Toc364498305"/>
      <w:bookmarkStart w:id="2" w:name="_Toc364500739"/>
      <w:r>
        <w:br w:type="page"/>
      </w:r>
    </w:p>
    <w:p w:rsidR="00247132" w:rsidRDefault="00B65BB9">
      <w:pPr>
        <w:pStyle w:val="Ttulo1"/>
      </w:pPr>
      <w:bookmarkStart w:id="3" w:name="_Toc430077302"/>
      <w:r>
        <w:lastRenderedPageBreak/>
        <w:t>INTRODUÇÃO</w:t>
      </w:r>
      <w:bookmarkEnd w:id="1"/>
      <w:bookmarkEnd w:id="2"/>
      <w:bookmarkEnd w:id="3"/>
    </w:p>
    <w:p w:rsidR="00247132" w:rsidRDefault="00B65BB9">
      <w:pPr>
        <w:pStyle w:val="Ttulo2"/>
      </w:pPr>
      <w:bookmarkStart w:id="4" w:name="_Toc364498306"/>
      <w:bookmarkStart w:id="5" w:name="_Toc364500740"/>
      <w:bookmarkStart w:id="6" w:name="_Toc430077303"/>
      <w:r>
        <w:t>Gerenciamento Eletrônico de Documentos (GED)</w:t>
      </w:r>
      <w:bookmarkEnd w:id="4"/>
      <w:bookmarkEnd w:id="5"/>
      <w:bookmarkEnd w:id="6"/>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7" w:name="_Toc364498307"/>
      <w:bookmarkStart w:id="8" w:name="_Toc364500741"/>
      <w:bookmarkStart w:id="9" w:name="_Toc430077304"/>
      <w:r>
        <w:t>Sistema Informatizado de Gestão Arquivística de Documentos (SIGAD)</w:t>
      </w:r>
      <w:bookmarkEnd w:id="7"/>
      <w:bookmarkEnd w:id="8"/>
      <w:bookmarkEnd w:id="9"/>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10" w:name="_Toc364498308"/>
      <w:bookmarkStart w:id="11" w:name="_Toc364500742"/>
      <w:bookmarkStart w:id="12" w:name="_Toc430077305"/>
      <w:r>
        <w:t>O que é o SAPIENS?</w:t>
      </w:r>
      <w:bookmarkEnd w:id="10"/>
      <w:bookmarkEnd w:id="11"/>
      <w:bookmarkEnd w:id="12"/>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3" w:name="_Toc430077306"/>
      <w:r>
        <w:lastRenderedPageBreak/>
        <w:t>DISTRIBUIDOR</w:t>
      </w:r>
      <w:bookmarkEnd w:id="13"/>
      <w:r w:rsidR="00745A40">
        <w:t xml:space="preserve"> </w:t>
      </w:r>
    </w:p>
    <w:p w:rsidR="00304492" w:rsidRDefault="00AC7D58" w:rsidP="00304492">
      <w:pPr>
        <w:pStyle w:val="Ttulo2"/>
        <w:numPr>
          <w:ilvl w:val="1"/>
          <w:numId w:val="38"/>
        </w:numPr>
      </w:pPr>
      <w:bookmarkStart w:id="14" w:name="_Toc423451068"/>
      <w:bookmarkStart w:id="15" w:name="_Toc430077307"/>
      <w:r>
        <w:t>Atributo de L</w:t>
      </w:r>
      <w:r w:rsidR="00304492">
        <w:t>otação</w:t>
      </w:r>
      <w:bookmarkEnd w:id="14"/>
      <w:bookmarkEnd w:id="15"/>
    </w:p>
    <w:p w:rsidR="00304492" w:rsidRDefault="00304492" w:rsidP="00304492">
      <w:r>
        <w:t xml:space="preserve">Cabe ao administrador da unidade, ao efetuar a lotação de um usuário em um determinado setor, estabelecer se naquela lotação específica há o atributo de </w:t>
      </w:r>
      <w:r w:rsidR="00AC7D58">
        <w:t>distribuidor</w:t>
      </w:r>
      <w:r>
        <w:t>.</w:t>
      </w:r>
    </w:p>
    <w:p w:rsidR="00304492" w:rsidRPr="00304492" w:rsidRDefault="00304492" w:rsidP="00304492">
      <w:r>
        <w:t xml:space="preserve">Ou seja, é possível ser </w:t>
      </w:r>
      <w:r w:rsidR="00AC7D58">
        <w:t>distribuidor</w:t>
      </w:r>
      <w:r>
        <w:t xml:space="preserve"> em uma lotação e não ser </w:t>
      </w:r>
      <w:r w:rsidR="00AC7D58">
        <w:t>distribuidor</w:t>
      </w:r>
      <w:r>
        <w:t xml:space="preserve"> em outras.</w:t>
      </w:r>
    </w:p>
    <w:p w:rsidR="00247132" w:rsidRDefault="00B65BB9">
      <w:pPr>
        <w:pStyle w:val="Ttulo2"/>
      </w:pPr>
      <w:r>
        <w:t xml:space="preserve"> </w:t>
      </w:r>
      <w:bookmarkStart w:id="16" w:name="_Toc430077308"/>
      <w:r w:rsidR="001922C9">
        <w:t>Papel e Responsabilidades</w:t>
      </w:r>
      <w:bookmarkEnd w:id="16"/>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w:t>
      </w:r>
      <w:r w:rsidR="00AC7D58">
        <w:t>atributo</w:t>
      </w:r>
      <w:r>
        <w:t xml:space="preserve"> de </w:t>
      </w:r>
      <w:r w:rsidR="002A7126">
        <w:t>distribuidor</w:t>
      </w:r>
      <w:r>
        <w:t>.</w:t>
      </w:r>
    </w:p>
    <w:p w:rsidR="003E041D" w:rsidRDefault="003E041D" w:rsidP="003E041D">
      <w:pPr>
        <w:pStyle w:val="Ttulo3"/>
      </w:pPr>
      <w:bookmarkStart w:id="17" w:name="_Toc388356374"/>
      <w:bookmarkStart w:id="18" w:name="_Toc430077309"/>
      <w:r>
        <w:t>Redistribuição de Tarefa</w:t>
      </w:r>
      <w:bookmarkEnd w:id="17"/>
      <w:bookmarkEnd w:id="18"/>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lastRenderedPageBreak/>
        <w:t xml:space="preserve">Há nessa tela a possiblidade de consultar todas as redistribuições que uma </w:t>
      </w:r>
      <w:r w:rsidR="002A7126">
        <w:t>t</w:t>
      </w:r>
      <w:r>
        <w:t>arefa já sofreu, bastando clicar no botão “Histórico”, ao lado do campo.</w:t>
      </w:r>
    </w:p>
    <w:p w:rsidR="0052468A" w:rsidRDefault="00547FB3" w:rsidP="00547FB3">
      <w:r>
        <w:t>Também é possível redistribuir tarefas, inclusive em bloco, por meio de um atalho específico, no painel do usuário.</w:t>
      </w:r>
    </w:p>
    <w:p w:rsidR="00547FB3" w:rsidRPr="0052468A" w:rsidRDefault="00547FB3" w:rsidP="00547FB3">
      <w:pPr>
        <w:ind w:firstLine="0"/>
        <w:jc w:val="center"/>
      </w:pPr>
      <w:r>
        <w:rPr>
          <w:noProof/>
          <w:lang w:eastAsia="pt-BR"/>
        </w:rPr>
        <w:drawing>
          <wp:inline distT="0" distB="0" distL="0" distR="0">
            <wp:extent cx="1381125" cy="1628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p>
    <w:p w:rsidR="00E7711E" w:rsidRDefault="002A7126" w:rsidP="00E7711E">
      <w:pPr>
        <w:pStyle w:val="Ttulo1"/>
      </w:pPr>
      <w:bookmarkStart w:id="19" w:name="_Toc430077310"/>
      <w:r>
        <w:t>DISTRIBUIDOR</w:t>
      </w:r>
      <w:r w:rsidR="00E7711E">
        <w:t xml:space="preserve"> </w:t>
      </w:r>
      <w:r w:rsidR="001922C9">
        <w:t>JUDICIAL</w:t>
      </w:r>
      <w:bookmarkEnd w:id="19"/>
    </w:p>
    <w:p w:rsidR="0044583D" w:rsidRDefault="0044583D" w:rsidP="00E7711E">
      <w:r>
        <w:t xml:space="preserve">O </w:t>
      </w:r>
      <w:r w:rsidR="00AC7D58" w:rsidRPr="00AC7D58">
        <w:rPr>
          <w:b/>
        </w:rPr>
        <w:t>perfil</w:t>
      </w:r>
      <w:r w:rsidR="00AC7D58">
        <w:t xml:space="preserve"> de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20" w:name="_Toc430077311"/>
      <w:r w:rsidRPr="0044583D">
        <w:rPr>
          <w:i/>
        </w:rPr>
        <w:t>Grid</w:t>
      </w:r>
      <w:r>
        <w:t xml:space="preserve"> de Intimações</w:t>
      </w:r>
      <w:bookmarkEnd w:id="20"/>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352198" w:rsidP="00D92316">
      <w:pPr>
        <w:ind w:firstLine="0"/>
        <w:jc w:val="center"/>
      </w:pPr>
      <w:r>
        <w:rPr>
          <w:noProof/>
          <w:lang w:eastAsia="pt-BR"/>
        </w:rPr>
        <w:lastRenderedPageBreak/>
        <w:drawing>
          <wp:inline distT="0" distB="0" distL="0" distR="0">
            <wp:extent cx="5391150" cy="600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60007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Default="001F559E" w:rsidP="001F559E">
      <w:r>
        <w:t>Por exemplo, o distribuidor “A” só realiza as distribuições de Processos Judiciais de 2ª instância, enquanto o distribuidor “B” realiza as demais.</w:t>
      </w:r>
    </w:p>
    <w:p w:rsidR="00352198" w:rsidRPr="00352198" w:rsidRDefault="00352198" w:rsidP="001F559E">
      <w:r>
        <w:t xml:space="preserve">Há no topo do </w:t>
      </w:r>
      <w:r>
        <w:rPr>
          <w:i/>
        </w:rPr>
        <w:t>grid</w:t>
      </w:r>
      <w:r>
        <w:t xml:space="preserve"> a possibilidade de alternar entre as visões “Pendentes” e “Distribuídas”, além da funcionalidade “Mostrar Apagadas”. Essas duas últimas referidas ferramentas têm utilidade gerencial para facilitar a organização do serviço.</w:t>
      </w:r>
    </w:p>
    <w:p w:rsidR="00D92316" w:rsidRDefault="00D92316" w:rsidP="00D92316">
      <w:pPr>
        <w:pStyle w:val="Ttulo3"/>
      </w:pPr>
      <w:bookmarkStart w:id="21" w:name="_Toc430077312"/>
      <w:r>
        <w:t>Integração com o Poder Judiciário</w:t>
      </w:r>
      <w:bookmarkEnd w:id="21"/>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lastRenderedPageBreak/>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E1280F" w:rsidP="00D92316">
      <w:pPr>
        <w:ind w:firstLine="0"/>
        <w:jc w:val="center"/>
      </w:pPr>
      <w:r>
        <w:rPr>
          <w:noProof/>
          <w:lang w:eastAsia="pt-BR"/>
        </w:rPr>
        <w:drawing>
          <wp:inline distT="0" distB="0" distL="0" distR="0">
            <wp:extent cx="5398770" cy="34112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3411220"/>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8D508F" w:rsidRDefault="008D508F" w:rsidP="005368E4">
      <w:r>
        <w:t>O campo Movimento serve para marcar gerencialmente qual é o Movimento Nacional da Tabela CNJ a que corresponde a intimação. Apesar desse campo ser opcional no primeiro momento, somente será possível realizar a distribuição da intimação após o seu preenchimento.</w:t>
      </w:r>
    </w:p>
    <w:p w:rsidR="00E1280F" w:rsidRDefault="00E1280F" w:rsidP="005368E4">
      <w:r>
        <w:t>O campo Repercussão serve para marcar gerencialmente se o conteúdo da intimação é favorável, desfavorável, parcialmente favorável ou indiferente. Apesar desse campo ser opcional no primeiro momento, somente será possível realizar a distribuição da intimação após o seu preenchimento.</w:t>
      </w:r>
    </w:p>
    <w:p w:rsidR="005368E4" w:rsidRDefault="005368E4" w:rsidP="005368E4">
      <w:r>
        <w:lastRenderedPageBreak/>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No Bloco é fundamental que cada número de processo judicial esteja em uma linha diferente, sob pena de erro.</w:t>
      </w:r>
    </w:p>
    <w:p w:rsidR="005368E4" w:rsidRDefault="005368E4" w:rsidP="005368E4">
      <w:r>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w:t>
      </w:r>
      <w:r>
        <w:lastRenderedPageBreak/>
        <w:t xml:space="preserve">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446745" w:rsidRDefault="00446745" w:rsidP="00446745">
      <w:pPr>
        <w:ind w:firstLine="0"/>
        <w:jc w:val="center"/>
      </w:pPr>
      <w:r>
        <w:rPr>
          <w:noProof/>
          <w:lang w:eastAsia="pt-BR"/>
        </w:rPr>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lastRenderedPageBreak/>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E1280F" w:rsidP="00446745">
      <w:pPr>
        <w:ind w:firstLine="0"/>
        <w:jc w:val="center"/>
      </w:pPr>
      <w:r>
        <w:rPr>
          <w:noProof/>
          <w:lang w:eastAsia="pt-BR"/>
        </w:rPr>
        <w:drawing>
          <wp:inline distT="0" distB="0" distL="0" distR="0">
            <wp:extent cx="5398770" cy="3617595"/>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8770" cy="3617595"/>
                    </a:xfrm>
                    <a:prstGeom prst="rect">
                      <a:avLst/>
                    </a:prstGeom>
                    <a:noFill/>
                    <a:ln>
                      <a:noFill/>
                    </a:ln>
                  </pic:spPr>
                </pic:pic>
              </a:graphicData>
            </a:graphic>
          </wp:inline>
        </w:drawing>
      </w:r>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t xml:space="preserve">Se não escolher o </w:t>
      </w:r>
      <w:r w:rsidR="00B601D5">
        <w:t>u</w:t>
      </w:r>
      <w:r>
        <w:t>suário, o SAPIENS utilizará o mecanismo de distribuição automática, conforme explicação mais adiante no manual.</w:t>
      </w:r>
    </w:p>
    <w:p w:rsidR="001F559E" w:rsidRDefault="001F559E" w:rsidP="005368E4">
      <w:r>
        <w:t>A distribuição pode ser em bloco, bastando selecionar mais de uma Intimação por vez.</w:t>
      </w:r>
    </w:p>
    <w:p w:rsidR="001F559E" w:rsidRDefault="001F559E" w:rsidP="001F559E">
      <w:pPr>
        <w:ind w:firstLine="0"/>
        <w:jc w:val="center"/>
      </w:pPr>
      <w:r>
        <w:rPr>
          <w:noProof/>
          <w:lang w:eastAsia="pt-BR"/>
        </w:rPr>
        <w:lastRenderedPageBreak/>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D23A30" w:rsidRDefault="00D23A30" w:rsidP="00D23A30">
      <w:r>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22" w:name="_Toc430077313"/>
      <w:r>
        <w:t>Ausência de Integração com o Poder Judiciário</w:t>
      </w:r>
      <w:bookmarkEnd w:id="22"/>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Default="00011E72" w:rsidP="00D92316">
      <w:r>
        <w:t>Depois deverá prosseguir normalmente de acordo com o contido nesse Manual.</w:t>
      </w:r>
    </w:p>
    <w:p w:rsidR="001F12F6" w:rsidRDefault="001F12F6" w:rsidP="001F12F6">
      <w:pPr>
        <w:pStyle w:val="Ttulo2"/>
      </w:pPr>
      <w:bookmarkStart w:id="23" w:name="_Toc430077314"/>
      <w:r>
        <w:lastRenderedPageBreak/>
        <w:t>Integração com o SICAU</w:t>
      </w:r>
      <w:bookmarkEnd w:id="23"/>
    </w:p>
    <w:p w:rsidR="001F12F6" w:rsidRDefault="001F12F6" w:rsidP="001F12F6">
      <w:r>
        <w:t>O SAPIENS possui integração com o SICAU capaz de realizar a importação dos dados dos processos judiciais, extrato de tarefas e atividades e dossiês judiciais.</w:t>
      </w:r>
    </w:p>
    <w:p w:rsidR="001F12F6" w:rsidRDefault="001F12F6" w:rsidP="001F12F6">
      <w:r>
        <w:t>Atenção, é imprescindível que o processo judicial esteja cadastrado no SICAU com a numeração CNJ de 20 dígitos, ainda que apenas no campo numeração alternativa.</w:t>
      </w:r>
    </w:p>
    <w:p w:rsidR="001F12F6" w:rsidRDefault="001F12F6" w:rsidP="001F12F6">
      <w:r>
        <w:t>Para utilizar essa integração, ao cadastrar uma nova intimação, ou ao criar um novo processo judicial, basta selecionar “</w:t>
      </w:r>
      <w:r w:rsidR="00300372">
        <w:t>Manual</w:t>
      </w:r>
      <w:r>
        <w:t>” e</w:t>
      </w:r>
      <w:r w:rsidR="00300372">
        <w:t xml:space="preserve"> </w:t>
      </w:r>
      <w:r>
        <w:t>marcar</w:t>
      </w:r>
      <w:r w:rsidR="00300372">
        <w:t xml:space="preserve"> a opção</w:t>
      </w:r>
      <w:r>
        <w:t xml:space="preserve"> “</w:t>
      </w:r>
      <w:r w:rsidR="00300372">
        <w:t xml:space="preserve">Migrar </w:t>
      </w:r>
      <w:r>
        <w:t>SICAU”.</w:t>
      </w:r>
    </w:p>
    <w:p w:rsidR="001F12F6" w:rsidRPr="001F12F6" w:rsidRDefault="001F12F6" w:rsidP="001F12F6">
      <w:r>
        <w:t>O SAPIENS então criará o NUP necess</w:t>
      </w:r>
      <w:r w:rsidR="00030D22">
        <w:t>ário no setor principal do usuário, migrando as informações necessárias do SICAU.</w:t>
      </w:r>
      <w:r>
        <w:t xml:space="preserve"> </w:t>
      </w:r>
    </w:p>
    <w:p w:rsidR="00C57C46" w:rsidRDefault="001922C9" w:rsidP="00C57C46">
      <w:pPr>
        <w:pStyle w:val="Ttulo1"/>
      </w:pPr>
      <w:bookmarkStart w:id="24" w:name="_Toc430077315"/>
      <w:r>
        <w:t>DISTRIBUIÇÃO AUTOMÁTICA</w:t>
      </w:r>
      <w:bookmarkEnd w:id="24"/>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B601D5" w:rsidP="001F559E">
      <w:r>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5" w:name="_Toc430077316"/>
      <w:r>
        <w:t>CONCLUSÃO</w:t>
      </w:r>
      <w:bookmarkEnd w:id="25"/>
    </w:p>
    <w:p w:rsidR="005D5AB7" w:rsidRDefault="005D5AB7" w:rsidP="005D5AB7">
      <w:r>
        <w:t>O Manual SAPIENS para Distribuidores tem por objetivo apresentar as funcionalidades exclusivas do Distribuidor.</w:t>
      </w:r>
    </w:p>
    <w:p w:rsidR="005D5AB7" w:rsidRPr="007A24B1" w:rsidRDefault="00B601D5" w:rsidP="005D5AB7">
      <w:r>
        <w:lastRenderedPageBreak/>
        <w:t>O d</w:t>
      </w:r>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2"/>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03A" w:rsidRDefault="0062203A">
      <w:r>
        <w:separator/>
      </w:r>
    </w:p>
  </w:endnote>
  <w:endnote w:type="continuationSeparator" w:id="0">
    <w:p w:rsidR="0062203A" w:rsidRDefault="0062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423099">
          <w:rPr>
            <w:noProof/>
          </w:rPr>
          <w:t>14</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03A" w:rsidRDefault="0062203A">
      <w:r>
        <w:separator/>
      </w:r>
    </w:p>
  </w:footnote>
  <w:footnote w:type="continuationSeparator" w:id="0">
    <w:p w:rsidR="0062203A" w:rsidRDefault="0062203A">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11E72"/>
    <w:rsid w:val="000142CF"/>
    <w:rsid w:val="00030D22"/>
    <w:rsid w:val="00031FAB"/>
    <w:rsid w:val="00036429"/>
    <w:rsid w:val="00057D5D"/>
    <w:rsid w:val="00060E08"/>
    <w:rsid w:val="000752B0"/>
    <w:rsid w:val="000761F9"/>
    <w:rsid w:val="00094E78"/>
    <w:rsid w:val="000C4F3B"/>
    <w:rsid w:val="000D3C1D"/>
    <w:rsid w:val="000F2EE3"/>
    <w:rsid w:val="00123FBF"/>
    <w:rsid w:val="00132C76"/>
    <w:rsid w:val="001624D5"/>
    <w:rsid w:val="00170C58"/>
    <w:rsid w:val="00180CFC"/>
    <w:rsid w:val="00181DEA"/>
    <w:rsid w:val="001922C9"/>
    <w:rsid w:val="001F12F6"/>
    <w:rsid w:val="001F559E"/>
    <w:rsid w:val="002250F1"/>
    <w:rsid w:val="00244196"/>
    <w:rsid w:val="00247132"/>
    <w:rsid w:val="00251CDF"/>
    <w:rsid w:val="00284320"/>
    <w:rsid w:val="00294C1E"/>
    <w:rsid w:val="002A27A0"/>
    <w:rsid w:val="002A7126"/>
    <w:rsid w:val="002C685D"/>
    <w:rsid w:val="002E4482"/>
    <w:rsid w:val="00300372"/>
    <w:rsid w:val="00300444"/>
    <w:rsid w:val="00304492"/>
    <w:rsid w:val="00316869"/>
    <w:rsid w:val="00352198"/>
    <w:rsid w:val="003547D1"/>
    <w:rsid w:val="00357BD9"/>
    <w:rsid w:val="0036079A"/>
    <w:rsid w:val="00360836"/>
    <w:rsid w:val="003631FC"/>
    <w:rsid w:val="003B50F1"/>
    <w:rsid w:val="003C383C"/>
    <w:rsid w:val="003E041D"/>
    <w:rsid w:val="003E7D55"/>
    <w:rsid w:val="003F1BA0"/>
    <w:rsid w:val="003F72AB"/>
    <w:rsid w:val="00413F77"/>
    <w:rsid w:val="00423099"/>
    <w:rsid w:val="00432C0D"/>
    <w:rsid w:val="0044583D"/>
    <w:rsid w:val="00446745"/>
    <w:rsid w:val="00480541"/>
    <w:rsid w:val="00484794"/>
    <w:rsid w:val="004B53AB"/>
    <w:rsid w:val="004B5B03"/>
    <w:rsid w:val="004E14DC"/>
    <w:rsid w:val="004E3A56"/>
    <w:rsid w:val="004F2BC5"/>
    <w:rsid w:val="0052468A"/>
    <w:rsid w:val="005368E4"/>
    <w:rsid w:val="005451C6"/>
    <w:rsid w:val="00547FB3"/>
    <w:rsid w:val="005A1274"/>
    <w:rsid w:val="005A2BDA"/>
    <w:rsid w:val="005A6C28"/>
    <w:rsid w:val="005D0F5E"/>
    <w:rsid w:val="005D5AB7"/>
    <w:rsid w:val="00606420"/>
    <w:rsid w:val="00613D10"/>
    <w:rsid w:val="0062203A"/>
    <w:rsid w:val="00624A53"/>
    <w:rsid w:val="00643392"/>
    <w:rsid w:val="0065164B"/>
    <w:rsid w:val="00677DF6"/>
    <w:rsid w:val="0068081E"/>
    <w:rsid w:val="006945E7"/>
    <w:rsid w:val="006967B0"/>
    <w:rsid w:val="006B1AD5"/>
    <w:rsid w:val="006D257A"/>
    <w:rsid w:val="006F5142"/>
    <w:rsid w:val="0070104C"/>
    <w:rsid w:val="00706346"/>
    <w:rsid w:val="0073485B"/>
    <w:rsid w:val="00745A40"/>
    <w:rsid w:val="00772D7F"/>
    <w:rsid w:val="00785C4A"/>
    <w:rsid w:val="007A24B1"/>
    <w:rsid w:val="007C1FBC"/>
    <w:rsid w:val="007E7B61"/>
    <w:rsid w:val="007F41D8"/>
    <w:rsid w:val="007F4A72"/>
    <w:rsid w:val="00816AD8"/>
    <w:rsid w:val="00822156"/>
    <w:rsid w:val="00852870"/>
    <w:rsid w:val="008949A7"/>
    <w:rsid w:val="008A1881"/>
    <w:rsid w:val="008D4253"/>
    <w:rsid w:val="008D508F"/>
    <w:rsid w:val="008E15BA"/>
    <w:rsid w:val="00922BCE"/>
    <w:rsid w:val="009670AE"/>
    <w:rsid w:val="009A2D5D"/>
    <w:rsid w:val="009B3149"/>
    <w:rsid w:val="009C507A"/>
    <w:rsid w:val="009C5A20"/>
    <w:rsid w:val="009E6702"/>
    <w:rsid w:val="00A0607B"/>
    <w:rsid w:val="00A150D9"/>
    <w:rsid w:val="00A3348B"/>
    <w:rsid w:val="00A44019"/>
    <w:rsid w:val="00A45BC2"/>
    <w:rsid w:val="00A56827"/>
    <w:rsid w:val="00A80202"/>
    <w:rsid w:val="00A80D4F"/>
    <w:rsid w:val="00A844E6"/>
    <w:rsid w:val="00A86258"/>
    <w:rsid w:val="00AA34B5"/>
    <w:rsid w:val="00AB7FF0"/>
    <w:rsid w:val="00AC7D58"/>
    <w:rsid w:val="00AF07E1"/>
    <w:rsid w:val="00B0359D"/>
    <w:rsid w:val="00B1237C"/>
    <w:rsid w:val="00B13FD1"/>
    <w:rsid w:val="00B37524"/>
    <w:rsid w:val="00B601D5"/>
    <w:rsid w:val="00B65BB9"/>
    <w:rsid w:val="00B76C60"/>
    <w:rsid w:val="00BA49D4"/>
    <w:rsid w:val="00BA7D91"/>
    <w:rsid w:val="00BC539B"/>
    <w:rsid w:val="00BD6CEA"/>
    <w:rsid w:val="00BE2E56"/>
    <w:rsid w:val="00C13840"/>
    <w:rsid w:val="00C27148"/>
    <w:rsid w:val="00C47B66"/>
    <w:rsid w:val="00C57C46"/>
    <w:rsid w:val="00C942CF"/>
    <w:rsid w:val="00CF0948"/>
    <w:rsid w:val="00D16ECC"/>
    <w:rsid w:val="00D239ED"/>
    <w:rsid w:val="00D23A30"/>
    <w:rsid w:val="00D311CC"/>
    <w:rsid w:val="00D44AB5"/>
    <w:rsid w:val="00D55DDA"/>
    <w:rsid w:val="00D92316"/>
    <w:rsid w:val="00DF38FF"/>
    <w:rsid w:val="00E1280F"/>
    <w:rsid w:val="00E24737"/>
    <w:rsid w:val="00E26564"/>
    <w:rsid w:val="00E50633"/>
    <w:rsid w:val="00E7711E"/>
    <w:rsid w:val="00E80E10"/>
    <w:rsid w:val="00E966E0"/>
    <w:rsid w:val="00EA0F84"/>
    <w:rsid w:val="00EA5534"/>
    <w:rsid w:val="00EB5D88"/>
    <w:rsid w:val="00F0003D"/>
    <w:rsid w:val="00F2684B"/>
    <w:rsid w:val="00F31411"/>
    <w:rsid w:val="00F371EC"/>
    <w:rsid w:val="00F65647"/>
    <w:rsid w:val="00F80804"/>
    <w:rsid w:val="00F862A7"/>
    <w:rsid w:val="00F95C00"/>
    <w:rsid w:val="00F96AA4"/>
    <w:rsid w:val="00FC7569"/>
    <w:rsid w:val="00FF092C"/>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 w:id="879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838E-A1FA-4C80-871C-E4A4F946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2556</Words>
  <Characters>13806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2</cp:revision>
  <cp:lastPrinted>2013-08-18T14:21:00Z</cp:lastPrinted>
  <dcterms:created xsi:type="dcterms:W3CDTF">2015-10-23T19:25:00Z</dcterms:created>
  <dcterms:modified xsi:type="dcterms:W3CDTF">2015-10-23T19:25:00Z</dcterms:modified>
</cp:coreProperties>
</file>