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C6" w:rsidRPr="00D7798A" w:rsidRDefault="009F5F27" w:rsidP="009F5F27">
      <w:pPr>
        <w:jc w:val="center"/>
        <w:rPr>
          <w:sz w:val="26"/>
        </w:rPr>
      </w:pPr>
      <w:r w:rsidRPr="00D7798A">
        <w:rPr>
          <w:sz w:val="26"/>
        </w:rPr>
        <w:t>ROTINAS PARA UTILIZAÇÃO DAS ATIVIDADES DE ANÁLISE DE LAUDO</w:t>
      </w:r>
    </w:p>
    <w:p w:rsidR="009F5F27" w:rsidRDefault="009F5F27" w:rsidP="009F5F27">
      <w:pPr>
        <w:jc w:val="center"/>
      </w:pPr>
    </w:p>
    <w:p w:rsidR="00D7798A" w:rsidRDefault="00D7798A" w:rsidP="009F5F27">
      <w:pPr>
        <w:jc w:val="center"/>
      </w:pPr>
    </w:p>
    <w:p w:rsidR="009F5F27" w:rsidRDefault="009F5F27" w:rsidP="009F5F27">
      <w:pPr>
        <w:ind w:firstLine="993"/>
        <w:jc w:val="both"/>
      </w:pPr>
      <w:r>
        <w:t>Na versão 1.2.9 do SAPIENS foram disponibilizadas algumas atividades novas, entre elas duas relativas a análise de laudo:</w:t>
      </w:r>
    </w:p>
    <w:p w:rsidR="009F5F27" w:rsidRDefault="009F5F27" w:rsidP="00C07040">
      <w:pPr>
        <w:pStyle w:val="PargrafodaLista"/>
        <w:numPr>
          <w:ilvl w:val="0"/>
          <w:numId w:val="1"/>
        </w:numPr>
        <w:jc w:val="both"/>
      </w:pPr>
      <w:r w:rsidRPr="009F5F27">
        <w:t xml:space="preserve">LAUDO JUDICIAL </w:t>
      </w:r>
      <w:r w:rsidRPr="00C07040">
        <w:rPr>
          <w:b/>
        </w:rPr>
        <w:t>DESFAVORÁVEL</w:t>
      </w:r>
      <w:r w:rsidRPr="009F5F27">
        <w:t xml:space="preserve"> À ENTIDADE REPRESENTADA, ANÁLISE DE (SECRETARIA JUDICIÁRIA)</w:t>
      </w:r>
    </w:p>
    <w:p w:rsidR="00C07040" w:rsidRDefault="00C07040" w:rsidP="00C07040">
      <w:pPr>
        <w:pStyle w:val="PargrafodaLista"/>
        <w:ind w:left="1353"/>
        <w:jc w:val="both"/>
      </w:pPr>
    </w:p>
    <w:p w:rsidR="009F5F27" w:rsidRDefault="009F5F27" w:rsidP="00C07040">
      <w:pPr>
        <w:pStyle w:val="PargrafodaLista"/>
        <w:numPr>
          <w:ilvl w:val="0"/>
          <w:numId w:val="1"/>
        </w:numPr>
        <w:jc w:val="both"/>
      </w:pPr>
      <w:r w:rsidRPr="009F5F27">
        <w:t xml:space="preserve">LAUDO JUDICIAL </w:t>
      </w:r>
      <w:r w:rsidRPr="00C07040">
        <w:rPr>
          <w:b/>
        </w:rPr>
        <w:t>FAVORÁVEL</w:t>
      </w:r>
      <w:r w:rsidRPr="009F5F27">
        <w:t xml:space="preserve"> À ENTIDADE REPRESENTADA, ANÁLISE DE (SECRETARIA JUDICIÁRIA)</w:t>
      </w:r>
    </w:p>
    <w:p w:rsidR="009F5F27" w:rsidRDefault="00C07040" w:rsidP="009F5F27">
      <w:pPr>
        <w:ind w:firstLine="993"/>
        <w:jc w:val="both"/>
      </w:pPr>
      <w:r>
        <w:t>Essas atividades são de uso facultativo e foram criadas com o objetivo de fornecer às procuradorias uma ferramenta capaz de gerar dados sobra as perícias médicas realizadas nos processos judiciais, notadamente aqueles que envolvem benefícios por incapacidade</w:t>
      </w:r>
      <w:r w:rsidR="00D7798A">
        <w:t xml:space="preserve"> (cujo réu normalmente é o INSS)</w:t>
      </w:r>
      <w:r>
        <w:t xml:space="preserve"> e fornecimento de medicamentos</w:t>
      </w:r>
      <w:r w:rsidR="00D7798A">
        <w:t xml:space="preserve"> (na maioria dos casos com a União como ré)</w:t>
      </w:r>
      <w:r>
        <w:t>.</w:t>
      </w:r>
    </w:p>
    <w:p w:rsidR="00C07040" w:rsidRDefault="00D84C3F" w:rsidP="009F5F27">
      <w:pPr>
        <w:ind w:firstLine="993"/>
        <w:jc w:val="both"/>
      </w:pPr>
      <w:r>
        <w:t xml:space="preserve">Como são atividades do </w:t>
      </w:r>
      <w:r w:rsidR="004E371F">
        <w:t xml:space="preserve">gênero </w:t>
      </w:r>
      <w:r>
        <w:t>“</w:t>
      </w:r>
      <w:r w:rsidRPr="009F5F27">
        <w:t>SECRETARIA JUDICIÁRIA</w:t>
      </w:r>
      <w:r>
        <w:t xml:space="preserve">” não são aptas a encerrar tarefas do </w:t>
      </w:r>
      <w:r w:rsidR="004E371F">
        <w:t xml:space="preserve">gênero </w:t>
      </w:r>
      <w:r>
        <w:t>“JUDICIAL”, como citações e intimações, mas podem ser usadas nessas tarefas sem encerrar as atividades.</w:t>
      </w:r>
    </w:p>
    <w:p w:rsidR="009F5F27" w:rsidRDefault="00D84C3F" w:rsidP="007E649C">
      <w:pPr>
        <w:ind w:firstLine="993"/>
        <w:jc w:val="both"/>
      </w:pPr>
      <w:r>
        <w:t xml:space="preserve">O uso das atividades de análise de laudo não difere do uso das demais atividades, mas possibilita a inserção no SAPIENS de informações </w:t>
      </w:r>
      <w:r w:rsidR="007E649C">
        <w:t>complementares para obtenção de relatórios.</w:t>
      </w:r>
    </w:p>
    <w:p w:rsidR="007E649C" w:rsidRDefault="007E649C" w:rsidP="007E649C">
      <w:pPr>
        <w:ind w:firstLine="993"/>
        <w:jc w:val="both"/>
      </w:pPr>
      <w:r>
        <w:t>A janela das atividades tem o seguinte aspecto:</w:t>
      </w:r>
    </w:p>
    <w:p w:rsidR="007E649C" w:rsidRDefault="007E649C" w:rsidP="007E649C">
      <w:pPr>
        <w:jc w:val="both"/>
        <w:rPr>
          <w:b/>
        </w:rPr>
      </w:pPr>
      <w:r>
        <w:rPr>
          <w:noProof/>
          <w:lang w:eastAsia="pt-BR"/>
        </w:rPr>
        <w:drawing>
          <wp:inline distT="0" distB="0" distL="0" distR="0" wp14:anchorId="139E4522" wp14:editId="389216B1">
            <wp:extent cx="5400040" cy="35953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98A" w:rsidRPr="007E649C" w:rsidRDefault="00D7798A" w:rsidP="007E649C">
      <w:pPr>
        <w:jc w:val="both"/>
        <w:rPr>
          <w:b/>
        </w:rPr>
      </w:pPr>
    </w:p>
    <w:p w:rsidR="007E649C" w:rsidRDefault="007E649C" w:rsidP="007E649C">
      <w:pPr>
        <w:pStyle w:val="PargrafodaLista"/>
        <w:numPr>
          <w:ilvl w:val="0"/>
          <w:numId w:val="3"/>
        </w:numPr>
        <w:jc w:val="both"/>
      </w:pPr>
      <w:r w:rsidRPr="007E649C">
        <w:rPr>
          <w:b/>
        </w:rPr>
        <w:lastRenderedPageBreak/>
        <w:t>Dados Básicos:</w:t>
      </w:r>
      <w:r>
        <w:t xml:space="preserve"> </w:t>
      </w:r>
    </w:p>
    <w:p w:rsidR="007E649C" w:rsidRDefault="007E649C" w:rsidP="007E649C">
      <w:pPr>
        <w:pStyle w:val="PargrafodaLista"/>
        <w:jc w:val="both"/>
      </w:pPr>
      <w:r>
        <w:t>FAVORÁVEL ou DESFAVORÁVEL à entidade não significa necessariamente que o autor foi considerado capaz ou incapaz, uma vez que outros fatores podem ser considerados (p. ex.: se o autor, titular de aposentadoria por invalidez, pede o adicional de 25% e o laudo atesta incapacidade total e permanente, mas sem necessidade assistência permanente, temos um laudo FAVORÁVEL à entidade).</w:t>
      </w:r>
    </w:p>
    <w:p w:rsidR="007E649C" w:rsidRDefault="007E649C" w:rsidP="007E649C">
      <w:pPr>
        <w:pStyle w:val="PargrafodaLista"/>
        <w:jc w:val="both"/>
      </w:pPr>
    </w:p>
    <w:p w:rsidR="007E649C" w:rsidRDefault="007E649C" w:rsidP="007E649C">
      <w:pPr>
        <w:pStyle w:val="PargrafodaLista"/>
        <w:numPr>
          <w:ilvl w:val="0"/>
          <w:numId w:val="3"/>
        </w:numPr>
        <w:jc w:val="both"/>
      </w:pPr>
      <w:r>
        <w:rPr>
          <w:b/>
        </w:rPr>
        <w:t>Informação Complementares</w:t>
      </w:r>
      <w:r w:rsidRPr="007E649C">
        <w:rPr>
          <w:b/>
        </w:rPr>
        <w:t>:</w:t>
      </w:r>
      <w:r>
        <w:rPr>
          <w:b/>
        </w:rPr>
        <w:t xml:space="preserve"> </w:t>
      </w:r>
      <w:r>
        <w:t>não são obrigatórias, podendo ser preenchidas parcialmente sem problemas.</w:t>
      </w:r>
    </w:p>
    <w:p w:rsidR="007E649C" w:rsidRDefault="007E649C" w:rsidP="007E649C">
      <w:pPr>
        <w:pStyle w:val="PargrafodaLista"/>
        <w:jc w:val="both"/>
      </w:pPr>
      <w:r>
        <w:t>Como se trata de texto livre, é muito importante que haja padronização no preenchimento pela procuradoria, para que sejam gerados relatórios confiáveis.</w:t>
      </w:r>
    </w:p>
    <w:p w:rsidR="007E649C" w:rsidRDefault="007E649C" w:rsidP="007E649C">
      <w:pPr>
        <w:pStyle w:val="PargrafodaLista"/>
        <w:jc w:val="both"/>
      </w:pPr>
      <w:r>
        <w:t xml:space="preserve">2.1: </w:t>
      </w:r>
      <w:r>
        <w:rPr>
          <w:b/>
        </w:rPr>
        <w:t>Nome Perito</w:t>
      </w:r>
      <w:r>
        <w:t>: Necessária atenção à correta grafia do nome, para evitar multiplicidade de nomes</w:t>
      </w:r>
      <w:r w:rsidR="00962328">
        <w:t xml:space="preserve"> para o mesmo perito;</w:t>
      </w:r>
    </w:p>
    <w:p w:rsidR="007E649C" w:rsidRDefault="007E649C" w:rsidP="007E649C">
      <w:pPr>
        <w:pStyle w:val="PargrafodaLista"/>
        <w:jc w:val="both"/>
      </w:pPr>
      <w:r>
        <w:t xml:space="preserve">2.2: </w:t>
      </w:r>
      <w:r w:rsidRPr="007E649C">
        <w:rPr>
          <w:b/>
        </w:rPr>
        <w:t>CRM</w:t>
      </w:r>
      <w:r>
        <w:t xml:space="preserve">: além do número </w:t>
      </w:r>
      <w:r w:rsidR="00962328">
        <w:t>deve ser identificado o Estado</w:t>
      </w:r>
      <w:r w:rsidR="00A11AD2">
        <w:t xml:space="preserve"> (p. ex.</w:t>
      </w:r>
      <w:bookmarkStart w:id="0" w:name="_GoBack"/>
      <w:bookmarkEnd w:id="0"/>
      <w:r w:rsidR="00A11AD2" w:rsidRPr="00A11AD2">
        <w:t>: SC12545</w:t>
      </w:r>
      <w:r w:rsidR="00A11AD2">
        <w:t>):</w:t>
      </w:r>
    </w:p>
    <w:p w:rsidR="00962328" w:rsidRDefault="00962328" w:rsidP="007E649C">
      <w:pPr>
        <w:pStyle w:val="PargrafodaLista"/>
        <w:jc w:val="both"/>
      </w:pPr>
      <w:r>
        <w:t xml:space="preserve">2.3: </w:t>
      </w:r>
      <w:r>
        <w:rPr>
          <w:b/>
        </w:rPr>
        <w:t>NB/Medicam</w:t>
      </w:r>
      <w:r>
        <w:t xml:space="preserve">: campo com dupla função. </w:t>
      </w:r>
      <w:r w:rsidRPr="00962328">
        <w:rPr>
          <w:b/>
        </w:rPr>
        <w:t>NB</w:t>
      </w:r>
      <w:r>
        <w:t xml:space="preserve"> para benefícios por incapacidade</w:t>
      </w:r>
      <w:r w:rsidR="00D7798A">
        <w:t xml:space="preserve"> (ações contra o INSS)</w:t>
      </w:r>
      <w:r>
        <w:t xml:space="preserve"> </w:t>
      </w:r>
      <w:proofErr w:type="gramStart"/>
      <w:r>
        <w:t xml:space="preserve">e </w:t>
      </w:r>
      <w:r w:rsidRPr="00962328">
        <w:rPr>
          <w:b/>
        </w:rPr>
        <w:t>Medicam</w:t>
      </w:r>
      <w:proofErr w:type="gramEnd"/>
      <w:r>
        <w:t>, para informar o Medicamento requerido pelo autor</w:t>
      </w:r>
      <w:r w:rsidR="00D7798A">
        <w:t xml:space="preserve"> (ações contra a União)</w:t>
      </w:r>
      <w:r>
        <w:t>;</w:t>
      </w:r>
    </w:p>
    <w:p w:rsidR="00962328" w:rsidRDefault="00962328" w:rsidP="007E649C">
      <w:pPr>
        <w:pStyle w:val="PargrafodaLista"/>
        <w:jc w:val="both"/>
      </w:pPr>
      <w:r>
        <w:t xml:space="preserve">2.4: </w:t>
      </w:r>
      <w:r w:rsidRPr="00962328">
        <w:rPr>
          <w:b/>
        </w:rPr>
        <w:t>CID</w:t>
      </w:r>
      <w:r>
        <w:t xml:space="preserve"> (Classificação Internacional de Doenças): a CID-10 é composta por uma letra e 3 números, tendo sempre a seguinte forma de representação A24.2, p. ex., a letra e os dois primeiros grupos identificam os grupos de doenças e o terceiro especifica a patologia. Assim, pode ser útil informar apenas a letra e os dois primeiros números.</w:t>
      </w:r>
    </w:p>
    <w:p w:rsidR="00962328" w:rsidRDefault="00962328" w:rsidP="007E649C">
      <w:pPr>
        <w:pStyle w:val="PargrafodaLista"/>
        <w:jc w:val="both"/>
      </w:pPr>
    </w:p>
    <w:p w:rsidR="00B25193" w:rsidRDefault="00B25193" w:rsidP="007E649C">
      <w:pPr>
        <w:pStyle w:val="PargrafodaLista"/>
        <w:jc w:val="both"/>
      </w:pPr>
    </w:p>
    <w:p w:rsidR="00962328" w:rsidRPr="00B25193" w:rsidRDefault="00962328" w:rsidP="007E649C">
      <w:pPr>
        <w:pStyle w:val="PargrafodaLista"/>
        <w:jc w:val="both"/>
        <w:rPr>
          <w:b/>
          <w:caps/>
        </w:rPr>
      </w:pPr>
      <w:r w:rsidRPr="00B25193">
        <w:rPr>
          <w:b/>
          <w:caps/>
        </w:rPr>
        <w:t>Sugere-se duas formas de uso das referidas atividades:</w:t>
      </w:r>
    </w:p>
    <w:p w:rsidR="00962328" w:rsidRDefault="00962328" w:rsidP="007E649C">
      <w:pPr>
        <w:pStyle w:val="PargrafodaLista"/>
        <w:jc w:val="both"/>
      </w:pPr>
    </w:p>
    <w:p w:rsidR="00962328" w:rsidRPr="00962328" w:rsidRDefault="00962328" w:rsidP="00962328">
      <w:pPr>
        <w:pStyle w:val="PargrafodaLista"/>
        <w:numPr>
          <w:ilvl w:val="0"/>
          <w:numId w:val="4"/>
        </w:numPr>
        <w:jc w:val="both"/>
      </w:pPr>
      <w:r>
        <w:rPr>
          <w:b/>
        </w:rPr>
        <w:t>SIMPLIFICADO</w:t>
      </w:r>
    </w:p>
    <w:p w:rsidR="00962328" w:rsidRDefault="00962328" w:rsidP="00962328">
      <w:pPr>
        <w:ind w:firstLine="993"/>
        <w:jc w:val="both"/>
      </w:pPr>
      <w:r>
        <w:t xml:space="preserve">O responsável pela análise dos laudos lança as atividades </w:t>
      </w:r>
      <w:r w:rsidR="004E371F">
        <w:t>sem o preenchimento das informações complementares.</w:t>
      </w:r>
    </w:p>
    <w:p w:rsidR="004E371F" w:rsidRDefault="004E371F" w:rsidP="00962328">
      <w:pPr>
        <w:ind w:firstLine="993"/>
        <w:jc w:val="both"/>
      </w:pPr>
      <w:r>
        <w:t>Diante da possibilidade de lançamento da atividade em lote, o ideal é que seja feito no Gerenciamento de Contencioso de Massa. O gerente, após verificar o resultado do laudo e etiquetar as tarefas, pode fazer dois lotes, uma para cada atividade.</w:t>
      </w:r>
    </w:p>
    <w:p w:rsidR="004E371F" w:rsidRDefault="004E371F" w:rsidP="00962328">
      <w:pPr>
        <w:ind w:firstLine="993"/>
        <w:jc w:val="both"/>
      </w:pPr>
      <w:r>
        <w:t>Como a atividade não encerra a tarefa, o gerente pode redistribuir as tarefas da Equipe Técnica Especializada sem problemas e encerrar as demais com a atividade correspondente à manifestação processual.</w:t>
      </w:r>
    </w:p>
    <w:p w:rsidR="004E371F" w:rsidRDefault="004E371F" w:rsidP="00962328">
      <w:pPr>
        <w:ind w:firstLine="993"/>
        <w:jc w:val="both"/>
      </w:pPr>
      <w:r>
        <w:t xml:space="preserve">Nessa hipótese serão gerados relatórios apenas com as quantidades de laudos favoráveis e desfavoráveis, mas é possível filtrar por localidade e/ou juízo, o que pode ser uma ferramenta relevante para identificar excessos de laudos desfavoráveis em determinado local. </w:t>
      </w:r>
    </w:p>
    <w:p w:rsidR="004E371F" w:rsidRDefault="004E371F" w:rsidP="00962328">
      <w:pPr>
        <w:ind w:firstLine="993"/>
        <w:jc w:val="both"/>
      </w:pPr>
    </w:p>
    <w:p w:rsidR="004E371F" w:rsidRPr="00962328" w:rsidRDefault="004E371F" w:rsidP="004E371F">
      <w:pPr>
        <w:pStyle w:val="PargrafodaLista"/>
        <w:numPr>
          <w:ilvl w:val="0"/>
          <w:numId w:val="4"/>
        </w:numPr>
        <w:jc w:val="both"/>
      </w:pPr>
      <w:r>
        <w:rPr>
          <w:b/>
        </w:rPr>
        <w:t>COMPLETO</w:t>
      </w:r>
    </w:p>
    <w:p w:rsidR="004E371F" w:rsidRDefault="004E371F" w:rsidP="00962328">
      <w:pPr>
        <w:ind w:firstLine="993"/>
        <w:jc w:val="both"/>
      </w:pPr>
      <w:r>
        <w:t xml:space="preserve">Nesse caso são lançadas </w:t>
      </w:r>
      <w:proofErr w:type="spellStart"/>
      <w:r>
        <w:t>todas</w:t>
      </w:r>
      <w:proofErr w:type="spellEnd"/>
      <w:r>
        <w:t xml:space="preserve"> ou parte das informações complementares. Sugere-se isso que não seja feito pelos advogados públicos, mas por uma equipe de apoio, que pode ser composta por servidores e/ou estagiários.</w:t>
      </w:r>
    </w:p>
    <w:p w:rsidR="004E371F" w:rsidRDefault="004E371F" w:rsidP="00962328">
      <w:pPr>
        <w:ind w:firstLine="993"/>
        <w:jc w:val="both"/>
      </w:pPr>
      <w:r>
        <w:lastRenderedPageBreak/>
        <w:t>O responsável pela análise do laudo deverá criar uma tarefa para o setor responsável. Sugere-se a tarefa “</w:t>
      </w:r>
      <w:r w:rsidRPr="004E371F">
        <w:t>ALIMENTAR SISTEMA DE INFORMAÇÃO”</w:t>
      </w:r>
      <w:r>
        <w:t>.</w:t>
      </w:r>
    </w:p>
    <w:p w:rsidR="00327890" w:rsidRDefault="00327890" w:rsidP="00962328">
      <w:pPr>
        <w:ind w:firstLine="993"/>
        <w:jc w:val="both"/>
      </w:pPr>
      <w:r>
        <w:t>Após triar etiquetar as tarefas, o responsável pode criar as tarefas em lote, desse modo, também é recomendável nessa modalidade que a atribuição seja do GCM.</w:t>
      </w:r>
    </w:p>
    <w:p w:rsidR="00327890" w:rsidRDefault="00327890" w:rsidP="00962328">
      <w:pPr>
        <w:ind w:firstLine="993"/>
        <w:jc w:val="both"/>
      </w:pPr>
      <w:r>
        <w:t>Os servidores/estagiários encerram as tarefas uma a uma lançando as informações que serão extraídas do laudo pericial.</w:t>
      </w:r>
    </w:p>
    <w:p w:rsidR="00327890" w:rsidRDefault="00327890" w:rsidP="00962328">
      <w:pPr>
        <w:ind w:firstLine="993"/>
        <w:jc w:val="both"/>
      </w:pPr>
      <w:r>
        <w:t xml:space="preserve">Nos processos eletrônicos o envio das tarefas ao setor responsável poderá ser imediatamente após a triagem. </w:t>
      </w:r>
    </w:p>
    <w:p w:rsidR="00327890" w:rsidRDefault="00327890" w:rsidP="00962328">
      <w:pPr>
        <w:ind w:firstLine="993"/>
        <w:jc w:val="both"/>
      </w:pPr>
      <w:r>
        <w:t xml:space="preserve">Já nos processos físicos é preciso criar uma rotina que permita ao servidor/estagiário o acesso aos autos. </w:t>
      </w:r>
      <w:r w:rsidR="006E3631">
        <w:t xml:space="preserve">Duas </w:t>
      </w:r>
      <w:r>
        <w:t>rotinas possíveis são as seguintes:</w:t>
      </w:r>
    </w:p>
    <w:p w:rsidR="00327890" w:rsidRDefault="00327890" w:rsidP="00962328">
      <w:pPr>
        <w:ind w:firstLine="993"/>
        <w:jc w:val="both"/>
      </w:pPr>
      <w:r>
        <w:t>1. Havendo GCM as tarefas põem ser criadas pelo gerente e remetidas aos servidores. Após encerramento de sua tarefa o advogado públic</w:t>
      </w:r>
      <w:r w:rsidR="006E3631">
        <w:t>o responsável remete os autos ao setor responsável.</w:t>
      </w:r>
    </w:p>
    <w:p w:rsidR="006E3631" w:rsidRDefault="006E3631" w:rsidP="00962328">
      <w:pPr>
        <w:ind w:firstLine="993"/>
        <w:jc w:val="both"/>
      </w:pPr>
      <w:r>
        <w:t>2. Sem GCM</w:t>
      </w:r>
      <w:r w:rsidR="00DE7E98">
        <w:t>,</w:t>
      </w:r>
      <w:r>
        <w:t xml:space="preserve"> o advogado públic</w:t>
      </w:r>
      <w:r w:rsidR="00DE7E98">
        <w:t>o</w:t>
      </w:r>
      <w:r>
        <w:t xml:space="preserve"> cria a tarefa para o setor responsável antes de encerrar a sua e encaminha os autos após o encerramento.</w:t>
      </w:r>
    </w:p>
    <w:sectPr w:rsidR="006E3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F197F"/>
    <w:multiLevelType w:val="hybridMultilevel"/>
    <w:tmpl w:val="9A58CB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6095"/>
    <w:multiLevelType w:val="hybridMultilevel"/>
    <w:tmpl w:val="A9440770"/>
    <w:lvl w:ilvl="0" w:tplc="902ED47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7BB4DFD"/>
    <w:multiLevelType w:val="hybridMultilevel"/>
    <w:tmpl w:val="C45EBB8C"/>
    <w:lvl w:ilvl="0" w:tplc="8E20FDC4">
      <w:start w:val="1"/>
      <w:numFmt w:val="decimal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EE226A0"/>
    <w:multiLevelType w:val="hybridMultilevel"/>
    <w:tmpl w:val="F2B24AFC"/>
    <w:lvl w:ilvl="0" w:tplc="B90EF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27"/>
    <w:rsid w:val="00327890"/>
    <w:rsid w:val="004E371F"/>
    <w:rsid w:val="005214FA"/>
    <w:rsid w:val="006E3631"/>
    <w:rsid w:val="007E649C"/>
    <w:rsid w:val="00942F7D"/>
    <w:rsid w:val="00962328"/>
    <w:rsid w:val="009F5F27"/>
    <w:rsid w:val="00A11AD2"/>
    <w:rsid w:val="00B25193"/>
    <w:rsid w:val="00C07040"/>
    <w:rsid w:val="00D7798A"/>
    <w:rsid w:val="00D84C3F"/>
    <w:rsid w:val="00D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8928C-2B83-43AF-AB56-8EA20773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Rezende</dc:creator>
  <cp:keywords/>
  <dc:description/>
  <cp:lastModifiedBy>Marcus Rezende</cp:lastModifiedBy>
  <cp:revision>5</cp:revision>
  <dcterms:created xsi:type="dcterms:W3CDTF">2017-08-03T10:41:00Z</dcterms:created>
  <dcterms:modified xsi:type="dcterms:W3CDTF">2017-08-16T12:24:00Z</dcterms:modified>
</cp:coreProperties>
</file>